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CB4AAB" w:rsidRPr="00CD21ED" w:rsidP="00FD58D0">
      <w:pPr>
        <w:pStyle w:val="naislab"/>
        <w:spacing w:before="0" w:after="60"/>
        <w:jc w:val="center"/>
        <w:outlineLvl w:val="0"/>
        <w:rPr>
          <w:b/>
        </w:rPr>
      </w:pPr>
      <w:r w:rsidRPr="00CD21ED">
        <w:rPr>
          <w:b/>
        </w:rPr>
        <w:t xml:space="preserve">Ministru kabineta noteikumu </w:t>
      </w:r>
      <w:r w:rsidRPr="00CD21ED">
        <w:rPr>
          <w:b/>
        </w:rPr>
        <w:t xml:space="preserve">projekta </w:t>
      </w:r>
      <w:r w:rsidRPr="0009529D">
        <w:rPr>
          <w:b/>
        </w:rPr>
        <w:t>„</w:t>
      </w:r>
      <w:r w:rsidRPr="0009529D" w:rsidR="00677A1E">
        <w:rPr>
          <w:b/>
        </w:rPr>
        <w:t>Grozījumi Ministru kabineta 2013.</w:t>
      </w:r>
      <w:r w:rsidR="00CE051C">
        <w:rPr>
          <w:b/>
        </w:rPr>
        <w:t> </w:t>
      </w:r>
      <w:r w:rsidRPr="0009529D" w:rsidR="00677A1E">
        <w:rPr>
          <w:b/>
        </w:rPr>
        <w:t>gada 9.</w:t>
      </w:r>
      <w:r w:rsidR="00CE051C">
        <w:rPr>
          <w:b/>
        </w:rPr>
        <w:t> </w:t>
      </w:r>
      <w:r w:rsidRPr="0009529D" w:rsidR="00677A1E">
        <w:rPr>
          <w:b/>
        </w:rPr>
        <w:t>jūlija noteikumos Nr.</w:t>
      </w:r>
      <w:r w:rsidR="00CE051C">
        <w:rPr>
          <w:b/>
        </w:rPr>
        <w:t> </w:t>
      </w:r>
      <w:r w:rsidRPr="0009529D" w:rsidR="00677A1E">
        <w:rPr>
          <w:b/>
        </w:rPr>
        <w:t>366 „Noteikumi par aviācijas darbību dalību Eiropas Savienības emisijas kvotu tirdzniecības sistēmā”</w:t>
      </w:r>
      <w:r w:rsidRPr="0009529D">
        <w:rPr>
          <w:b/>
        </w:rPr>
        <w:t xml:space="preserve">” </w:t>
      </w:r>
      <w:r w:rsidRPr="00CD21ED">
        <w:rPr>
          <w:b/>
        </w:rPr>
        <w:t xml:space="preserve">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CD21ED">
          <w:rPr>
            <w:b/>
          </w:rPr>
          <w:t>ziņojums</w:t>
        </w:r>
      </w:smartTag>
      <w:r w:rsidRPr="00CD21ED">
        <w:rPr>
          <w:b/>
        </w:rPr>
        <w:t xml:space="preserve"> (anotācija)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2"/>
        <w:gridCol w:w="1644"/>
        <w:gridCol w:w="7513"/>
      </w:tblGrid>
      <w:tr w:rsidTr="005E117D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trHeight w:val="255"/>
          <w:jc w:val="center"/>
        </w:trPr>
        <w:tc>
          <w:tcPr>
            <w:tcW w:w="0" w:type="auto"/>
            <w:gridSpan w:val="3"/>
            <w:vAlign w:val="center"/>
          </w:tcPr>
          <w:p w:rsidR="00CB4AAB" w:rsidRPr="00CD21ED" w:rsidP="00B63F0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CD21E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CD21ED" w:rsidR="0009529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CD21ED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405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jc w:val="center"/>
              <w:rPr>
                <w:rFonts w:ascii="Times New Roman" w:hAnsi="Times New Roman"/>
                <w:lang w:eastAsia="lv-LV"/>
              </w:rPr>
            </w:pPr>
            <w:r w:rsidRPr="00F122F9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853" w:type="pct"/>
          </w:tcPr>
          <w:p w:rsidR="00CB4AAB" w:rsidRPr="00CD21ED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97" w:type="pct"/>
          </w:tcPr>
          <w:p w:rsidR="00CB4AAB" w:rsidRPr="00677A1E" w:rsidP="00470F41">
            <w:pPr>
              <w:pStyle w:val="naiskr"/>
              <w:spacing w:before="60" w:after="60"/>
              <w:ind w:firstLine="227"/>
              <w:jc w:val="both"/>
            </w:pPr>
            <w:r w:rsidRPr="00677A1E">
              <w:t>Ministru kabineta noteikumu projekts</w:t>
            </w:r>
            <w:r w:rsidRPr="00677A1E">
              <w:t xml:space="preserve"> „</w:t>
            </w:r>
            <w:r w:rsidRPr="00677A1E" w:rsidR="00677A1E">
              <w:t>Grozījumi Ministru kabineta 2013.</w:t>
            </w:r>
            <w:r w:rsidR="00512F1D">
              <w:t> </w:t>
            </w:r>
            <w:r w:rsidRPr="00677A1E" w:rsidR="00677A1E">
              <w:t>gada 9.</w:t>
            </w:r>
            <w:r w:rsidR="00512F1D">
              <w:t> </w:t>
            </w:r>
            <w:r w:rsidRPr="00677A1E" w:rsidR="00677A1E">
              <w:t>jūlija noteikumos Nr.</w:t>
            </w:r>
            <w:r w:rsidR="00512F1D">
              <w:t> </w:t>
            </w:r>
            <w:r w:rsidRPr="00677A1E" w:rsidR="00677A1E">
              <w:t>366 „Noteikumi par aviācijas darbību dalību Eiropas Savienības emisijas kvotu tirdzniecības sistēmā”</w:t>
            </w:r>
            <w:r w:rsidRPr="00677A1E">
              <w:t xml:space="preserve">” (turpmāk – </w:t>
            </w:r>
            <w:r w:rsidRPr="00677A1E">
              <w:t xml:space="preserve">noteikumu </w:t>
            </w:r>
            <w:r w:rsidRPr="00677A1E">
              <w:t>projekts) izstrādāts</w:t>
            </w:r>
            <w:r w:rsidRPr="00677A1E">
              <w:t xml:space="preserve"> </w:t>
            </w:r>
            <w:r w:rsidRPr="00677A1E">
              <w:t>pēc Vides aizsardzības un reģionālās attīstības ministrijas (turpmāk – VARAM) iniciatīvas, lai:</w:t>
            </w:r>
          </w:p>
          <w:p w:rsidR="0012446F" w:rsidRPr="00677A1E" w:rsidP="00677A1E">
            <w:pPr>
              <w:pStyle w:val="ListParagraph"/>
              <w:numPr>
                <w:ilvl w:val="0"/>
                <w:numId w:val="21"/>
              </w:numPr>
              <w:spacing w:after="0"/>
              <w:ind w:left="284" w:hanging="284"/>
              <w:contextualSpacing w:val="0"/>
              <w:rPr>
                <w:sz w:val="24"/>
                <w:szCs w:val="24"/>
              </w:rPr>
            </w:pPr>
            <w:r w:rsidRPr="00677A1E">
              <w:rPr>
                <w:sz w:val="24"/>
                <w:szCs w:val="24"/>
              </w:rPr>
              <w:t xml:space="preserve">noteiktu nosacījumus </w:t>
            </w:r>
            <w:r w:rsidRPr="00CD21ED" w:rsidR="006B65C0">
              <w:rPr>
                <w:sz w:val="24"/>
                <w:szCs w:val="24"/>
                <w:lang w:eastAsia="lv-LV"/>
              </w:rPr>
              <w:t>Eiropas Savienības Emisijas kvotu tirdzniecības sistēmas</w:t>
            </w:r>
            <w:r w:rsidRPr="00677A1E" w:rsidR="006B65C0">
              <w:rPr>
                <w:sz w:val="24"/>
                <w:szCs w:val="24"/>
              </w:rPr>
              <w:t xml:space="preserve"> </w:t>
            </w:r>
            <w:r w:rsidR="00AF7C8A">
              <w:rPr>
                <w:sz w:val="24"/>
                <w:szCs w:val="24"/>
              </w:rPr>
              <w:t xml:space="preserve">(turpmāk – </w:t>
            </w:r>
            <w:r w:rsidRPr="00677A1E">
              <w:rPr>
                <w:sz w:val="24"/>
                <w:szCs w:val="24"/>
              </w:rPr>
              <w:t>ES ETS</w:t>
            </w:r>
            <w:r w:rsidR="00AF7C8A">
              <w:rPr>
                <w:sz w:val="24"/>
                <w:szCs w:val="24"/>
              </w:rPr>
              <w:t>)</w:t>
            </w:r>
            <w:r w:rsidRPr="00677A1E">
              <w:rPr>
                <w:sz w:val="24"/>
                <w:szCs w:val="24"/>
              </w:rPr>
              <w:t xml:space="preserve"> </w:t>
            </w:r>
            <w:r w:rsidRPr="00677A1E" w:rsidR="00677A1E">
              <w:rPr>
                <w:sz w:val="24"/>
                <w:szCs w:val="24"/>
              </w:rPr>
              <w:t xml:space="preserve">gaisa kuģu </w:t>
            </w:r>
            <w:r w:rsidRPr="00677A1E">
              <w:rPr>
                <w:sz w:val="24"/>
                <w:szCs w:val="24"/>
              </w:rPr>
              <w:t>operatoriem attiecībā uz ziņošanu par emisijas kvotu pārdošanā iegūto finanšu līdzekļu izlietojumu un noteiktu, ka par emisijas kvotu pārdošanā iegūtajiem finanšu līdzekļiem veikto pasākumu īstenošanu pārbauda verificētājs</w:t>
            </w:r>
            <w:r w:rsidR="00512F1D">
              <w:rPr>
                <w:sz w:val="24"/>
                <w:szCs w:val="24"/>
              </w:rPr>
              <w:t>,</w:t>
            </w:r>
            <w:r w:rsidRPr="00677A1E">
              <w:rPr>
                <w:sz w:val="24"/>
                <w:szCs w:val="24"/>
              </w:rPr>
              <w:t xml:space="preserve"> katru gadu apmeklējot </w:t>
            </w:r>
            <w:r w:rsidR="008A6DC2">
              <w:rPr>
                <w:sz w:val="24"/>
                <w:szCs w:val="24"/>
              </w:rPr>
              <w:t>gaisa kuģa operatoru</w:t>
            </w:r>
            <w:r w:rsidRPr="00677A1E">
              <w:rPr>
                <w:sz w:val="24"/>
                <w:szCs w:val="24"/>
              </w:rPr>
              <w:t>;</w:t>
            </w:r>
          </w:p>
          <w:p w:rsidR="00677A1E" w:rsidRPr="00677A1E" w:rsidP="00677A1E">
            <w:pPr>
              <w:pStyle w:val="naiskr"/>
              <w:numPr>
                <w:ilvl w:val="0"/>
                <w:numId w:val="21"/>
              </w:numPr>
              <w:spacing w:before="60" w:after="60"/>
              <w:ind w:left="284" w:hanging="284"/>
              <w:jc w:val="both"/>
            </w:pPr>
            <w:r w:rsidRPr="00677A1E">
              <w:t>pielāgotu Latvijas tiesību aktus Eiropas Parlamenta un Padomes 2014.</w:t>
            </w:r>
            <w:r w:rsidR="00512F1D">
              <w:t> </w:t>
            </w:r>
            <w:r w:rsidRPr="00677A1E">
              <w:t>gada 16.</w:t>
            </w:r>
            <w:r w:rsidR="00512F1D">
              <w:t> </w:t>
            </w:r>
            <w:r w:rsidRPr="00677A1E">
              <w:t xml:space="preserve">aprīļa </w:t>
            </w:r>
            <w:r w:rsidR="00512F1D">
              <w:t>R</w:t>
            </w:r>
            <w:r w:rsidRPr="00677A1E">
              <w:t>egulai Nr.</w:t>
            </w:r>
            <w:r w:rsidR="00512F1D">
              <w:t> </w:t>
            </w:r>
            <w:r w:rsidRPr="00677A1E">
              <w:t xml:space="preserve">421/2014, </w:t>
            </w:r>
            <w:r w:rsidRPr="00C750DE">
              <w:t>ar ko groza Direktīvu 2003/87/EK, ar kuru nosaka sistēmu siltumnīcas efektu izraisošo gāzu emisijas kvotu tirdzniecībai Kopienā, jo paredzams, ka līdz 2020.</w:t>
            </w:r>
            <w:r w:rsidRPr="00C750DE" w:rsidR="006B65C0">
              <w:t> </w:t>
            </w:r>
            <w:r w:rsidRPr="00C750DE">
              <w:t>gadam tiks īstenota starptautiska vienošanās par vienota un globāla tirgus mehānisma piemērošanu starptautiskās aviācijas emisijām</w:t>
            </w:r>
            <w:r w:rsidRPr="00FD3ACA">
              <w:rPr>
                <w:i/>
              </w:rPr>
              <w:t xml:space="preserve"> </w:t>
            </w:r>
            <w:r w:rsidRPr="00677A1E">
              <w:t>(turpmāk – regula Nr.</w:t>
            </w:r>
            <w:r w:rsidR="00AE415C">
              <w:t> </w:t>
            </w:r>
            <w:r w:rsidRPr="00677A1E">
              <w:t xml:space="preserve">421/2014) un </w:t>
            </w:r>
            <w:r w:rsidR="00AF7C8A">
              <w:t>ES ETS</w:t>
            </w:r>
            <w:r w:rsidRPr="00677A1E">
              <w:t xml:space="preserve"> regulējumam;</w:t>
            </w:r>
          </w:p>
          <w:p w:rsidR="005D3D34" w:rsidRPr="00455DA8" w:rsidP="00455DA8">
            <w:pPr>
              <w:pStyle w:val="ListParagraph"/>
              <w:numPr>
                <w:ilvl w:val="0"/>
                <w:numId w:val="21"/>
              </w:numPr>
              <w:spacing w:after="0"/>
              <w:ind w:left="284" w:hanging="284"/>
              <w:contextualSpacing w:val="0"/>
              <w:rPr>
                <w:sz w:val="24"/>
                <w:szCs w:val="24"/>
              </w:rPr>
            </w:pPr>
            <w:r w:rsidRPr="00677A1E">
              <w:rPr>
                <w:sz w:val="24"/>
                <w:szCs w:val="24"/>
              </w:rPr>
              <w:t>svītrotu nosacījumus</w:t>
            </w:r>
            <w:r w:rsidR="00AF7C8A">
              <w:rPr>
                <w:sz w:val="24"/>
                <w:szCs w:val="24"/>
              </w:rPr>
              <w:t xml:space="preserve"> attiecībā uz emisijas kvotu nodošanu</w:t>
            </w:r>
            <w:r w:rsidRPr="00677A1E">
              <w:rPr>
                <w:sz w:val="24"/>
                <w:szCs w:val="24"/>
              </w:rPr>
              <w:t>, kas ir i</w:t>
            </w:r>
            <w:r w:rsidR="00797491">
              <w:rPr>
                <w:sz w:val="24"/>
                <w:szCs w:val="24"/>
              </w:rPr>
              <w:t>etverti</w:t>
            </w:r>
            <w:r w:rsidRPr="00677A1E">
              <w:rPr>
                <w:sz w:val="24"/>
                <w:szCs w:val="24"/>
              </w:rPr>
              <w:t xml:space="preserve"> Ministru kabineta 2014.</w:t>
            </w:r>
            <w:r w:rsidR="00797491">
              <w:rPr>
                <w:sz w:val="24"/>
                <w:szCs w:val="24"/>
              </w:rPr>
              <w:t> </w:t>
            </w:r>
            <w:r w:rsidRPr="00677A1E">
              <w:rPr>
                <w:sz w:val="24"/>
                <w:szCs w:val="24"/>
              </w:rPr>
              <w:t>gada 20.</w:t>
            </w:r>
            <w:r w:rsidR="00797491">
              <w:rPr>
                <w:sz w:val="24"/>
                <w:szCs w:val="24"/>
              </w:rPr>
              <w:t> </w:t>
            </w:r>
            <w:r w:rsidRPr="00677A1E">
              <w:rPr>
                <w:sz w:val="24"/>
                <w:szCs w:val="24"/>
              </w:rPr>
              <w:t>maija noteikum</w:t>
            </w:r>
            <w:r w:rsidR="00AF7C8A">
              <w:rPr>
                <w:sz w:val="24"/>
                <w:szCs w:val="24"/>
              </w:rPr>
              <w:t>u</w:t>
            </w:r>
            <w:r w:rsidR="00560BC7">
              <w:rPr>
                <w:sz w:val="24"/>
                <w:szCs w:val="24"/>
              </w:rPr>
              <w:t xml:space="preserve"> Nr.</w:t>
            </w:r>
            <w:r w:rsidR="00797491">
              <w:rPr>
                <w:sz w:val="24"/>
                <w:szCs w:val="24"/>
              </w:rPr>
              <w:t> </w:t>
            </w:r>
            <w:r w:rsidR="00560BC7">
              <w:rPr>
                <w:sz w:val="24"/>
                <w:szCs w:val="24"/>
              </w:rPr>
              <w:t>250</w:t>
            </w:r>
            <w:r w:rsidRPr="00677A1E">
              <w:rPr>
                <w:sz w:val="24"/>
                <w:szCs w:val="24"/>
              </w:rPr>
              <w:t xml:space="preserve"> „Noteikumi par darbībām emisijas reģistrā”</w:t>
            </w:r>
            <w:r w:rsidR="00560BC7">
              <w:rPr>
                <w:sz w:val="24"/>
                <w:szCs w:val="24"/>
              </w:rPr>
              <w:t xml:space="preserve"> (turpmāk – Noteikumi Nr.</w:t>
            </w:r>
            <w:r w:rsidR="00797491">
              <w:rPr>
                <w:sz w:val="24"/>
                <w:szCs w:val="24"/>
              </w:rPr>
              <w:t> </w:t>
            </w:r>
            <w:r w:rsidR="00560BC7">
              <w:rPr>
                <w:sz w:val="24"/>
                <w:szCs w:val="24"/>
              </w:rPr>
              <w:t>250)</w:t>
            </w:r>
            <w:r w:rsidR="00AF7C8A">
              <w:rPr>
                <w:sz w:val="24"/>
                <w:szCs w:val="24"/>
              </w:rPr>
              <w:t xml:space="preserve"> 46.</w:t>
            </w:r>
            <w:r w:rsidR="00AE415C">
              <w:rPr>
                <w:sz w:val="24"/>
                <w:szCs w:val="24"/>
              </w:rPr>
              <w:t> </w:t>
            </w:r>
            <w:r w:rsidR="00AF7C8A">
              <w:rPr>
                <w:sz w:val="24"/>
                <w:szCs w:val="24"/>
              </w:rPr>
              <w:t>punktā</w:t>
            </w:r>
            <w:r w:rsidR="00455DA8">
              <w:rPr>
                <w:sz w:val="24"/>
                <w:szCs w:val="24"/>
              </w:rPr>
              <w:t>.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465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jc w:val="center"/>
              <w:rPr>
                <w:rFonts w:ascii="Times New Roman" w:hAnsi="Times New Roman"/>
                <w:lang w:eastAsia="lv-LV"/>
              </w:rPr>
            </w:pPr>
            <w:r w:rsidRPr="00F122F9"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853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97" w:type="pct"/>
          </w:tcPr>
          <w:p w:rsidR="00FD5A20" w:rsidRPr="007607D2" w:rsidP="0012446F">
            <w:pPr>
              <w:pStyle w:val="naiskr"/>
              <w:spacing w:before="0" w:after="60"/>
              <w:ind w:firstLine="227"/>
              <w:jc w:val="both"/>
              <w:rPr>
                <w:u w:val="single"/>
              </w:rPr>
            </w:pPr>
            <w:r w:rsidRPr="007607D2">
              <w:rPr>
                <w:u w:val="single"/>
              </w:rPr>
              <w:t>Pašreizējā situācija un problēmas</w:t>
            </w:r>
            <w:r w:rsidRPr="007607D2">
              <w:rPr>
                <w:u w:val="single"/>
              </w:rPr>
              <w:t>, pastāvošais tiesiskais regulējums, tā būtība un nepilnības</w:t>
            </w:r>
          </w:p>
          <w:p w:rsidR="00F27137" w:rsidRPr="00E33A21" w:rsidP="0012446F">
            <w:pPr>
              <w:spacing w:after="60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C750DE">
              <w:rPr>
                <w:rFonts w:ascii="Times New Roman" w:eastAsia="Times New Roman" w:hAnsi="Times New Roman"/>
                <w:sz w:val="24"/>
                <w:szCs w:val="24"/>
              </w:rPr>
              <w:t>Ministru kabineta 2013. gada 9. jūlija noteikumos Nr. 366 „Noteikumi par aviācijas darbību dalību Eiropas Savienības emisijas kvotu tirdzniecības sistēmā”</w:t>
            </w:r>
            <w:r w:rsidRPr="00104CAF" w:rsidR="00942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CAF" w:rsidR="0012446F">
              <w:rPr>
                <w:rFonts w:ascii="Times New Roman" w:hAnsi="Times New Roman"/>
                <w:sz w:val="24"/>
                <w:szCs w:val="24"/>
              </w:rPr>
              <w:t xml:space="preserve">ir nepieciešams noteikt nosacījumus, kā operators ziņo par emisijas kvotu pārdošanā iegūto finanšu līdzekļu izlietojumu, kas ir jauns nosacījums likumā „Par piesārņojumu”, bet tā īstenošana vēl nav noteikta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04CAF" w:rsidR="0012446F">
              <w:rPr>
                <w:rFonts w:ascii="Times New Roman" w:hAnsi="Times New Roman"/>
                <w:sz w:val="24"/>
                <w:szCs w:val="24"/>
              </w:rPr>
              <w:t>inistru kabineta noteikumos.</w:t>
            </w:r>
          </w:p>
          <w:p w:rsidR="00677A1E" w:rsidRPr="00104CAF" w:rsidP="00891BE7">
            <w:pPr>
              <w:pStyle w:val="naiskr"/>
              <w:spacing w:before="60" w:after="60"/>
              <w:ind w:firstLine="227"/>
              <w:jc w:val="both"/>
            </w:pPr>
            <w:r w:rsidRPr="00104CAF">
              <w:t xml:space="preserve">Šobrīd </w:t>
            </w:r>
            <w:r w:rsidRPr="00104CAF" w:rsidR="00104CAF">
              <w:t xml:space="preserve">spēkā esošais </w:t>
            </w:r>
            <w:r w:rsidRPr="00104CAF">
              <w:t>Latvijas normatīv</w:t>
            </w:r>
            <w:r w:rsidRPr="00104CAF" w:rsidR="00104CAF">
              <w:t>ais regulējums</w:t>
            </w:r>
            <w:r w:rsidRPr="00104CAF">
              <w:t xml:space="preserve"> neatbilst regulā Nr.</w:t>
            </w:r>
            <w:r w:rsidR="00AE415C">
              <w:t> </w:t>
            </w:r>
            <w:r w:rsidRPr="00104CAF">
              <w:t xml:space="preserve">421/2014 iekļautajiem nosacījumiem attiecībā uz samazināto ES ETS aptvērumu aviācijas darbību dalībai sistēmā, </w:t>
            </w:r>
            <w:r w:rsidR="00104CAF">
              <w:t xml:space="preserve">kuras ietvaros </w:t>
            </w:r>
            <w:r w:rsidRPr="00104CAF">
              <w:t>laika periodā no 2013.</w:t>
            </w:r>
            <w:r w:rsidRPr="00104CAF" w:rsidR="00104CAF">
              <w:t> </w:t>
            </w:r>
            <w:r w:rsidRPr="00104CAF">
              <w:t>gada 1.</w:t>
            </w:r>
            <w:r w:rsidRPr="00104CAF" w:rsidR="00104CAF">
              <w:t> </w:t>
            </w:r>
            <w:r w:rsidRPr="00104CAF">
              <w:t>janvāra līdz 2016.</w:t>
            </w:r>
            <w:r w:rsidRPr="00104CAF" w:rsidR="00104CAF">
              <w:t> </w:t>
            </w:r>
            <w:r w:rsidRPr="00104CAF">
              <w:t>gada 31.</w:t>
            </w:r>
            <w:r w:rsidRPr="00104CAF" w:rsidR="00104CAF">
              <w:t> </w:t>
            </w:r>
            <w:r w:rsidRPr="00104CAF">
              <w:t xml:space="preserve">decembrim no ES ETS tiek izslēgti lidojumi uz </w:t>
            </w:r>
            <w:r w:rsidR="00104CAF">
              <w:t xml:space="preserve"> un</w:t>
            </w:r>
            <w:r w:rsidR="00AE415C">
              <w:t xml:space="preserve"> </w:t>
            </w:r>
            <w:r w:rsidRPr="00104CAF">
              <w:t>ārpus</w:t>
            </w:r>
            <w:r w:rsidR="00AE415C">
              <w:t xml:space="preserve"> </w:t>
            </w:r>
            <w:r w:rsidRPr="00104CAF">
              <w:t>E</w:t>
            </w:r>
            <w:r w:rsidR="00AE415C">
              <w:t>iropas Ekonomikās zonas (turpmāk – EEZ)</w:t>
            </w:r>
            <w:r w:rsidRPr="00104CAF">
              <w:t xml:space="preserve"> valstīm un uz</w:t>
            </w:r>
            <w:r w:rsidR="00AE415C">
              <w:t>,</w:t>
            </w:r>
            <w:r w:rsidRPr="00104CAF">
              <w:t xml:space="preserve"> </w:t>
            </w:r>
            <w:r w:rsidR="00104CAF">
              <w:t>un</w:t>
            </w:r>
            <w:r w:rsidR="00AE415C">
              <w:t xml:space="preserve"> </w:t>
            </w:r>
            <w:r w:rsidRPr="00104CAF">
              <w:t>no attālākajiem reģioniem</w:t>
            </w:r>
            <w:r w:rsidR="00AE415C">
              <w:t xml:space="preserve">. </w:t>
            </w:r>
            <w:r w:rsidRPr="00891BE7" w:rsidR="00891BE7">
              <w:t>Līguma par Eiropas Savienības darbību 349.</w:t>
            </w:r>
            <w:r w:rsidR="00AE415C">
              <w:t> </w:t>
            </w:r>
            <w:r w:rsidRPr="00891BE7" w:rsidR="00891BE7">
              <w:t>panta izpratnē</w:t>
            </w:r>
            <w:r w:rsidR="00891BE7">
              <w:t xml:space="preserve"> par attālākajiem reģioniem tiek uzskatītas Gvadelupa, Franču Gviāna, Martinika, Reinjona, Senbertelemī, Senmartēna, Azoru salas, Madeiras salas un Kanāriju salas</w:t>
            </w:r>
            <w:r w:rsidRPr="00104CAF">
              <w:t>. Saskaņā ar šo samazināto aptvērumu gaisa kuģu operatoriem ikgadējo emisiju ziņojumos ir jāiekļauj tikai informācija par tiem lidojumiem, kas ir veikti uz</w:t>
            </w:r>
            <w:r w:rsidR="00104CAF">
              <w:t xml:space="preserve"> un</w:t>
            </w:r>
            <w:r w:rsidR="00AE415C">
              <w:t xml:space="preserve"> </w:t>
            </w:r>
            <w:r w:rsidRPr="00104CAF">
              <w:t>no EEZ valstīm</w:t>
            </w:r>
            <w:r w:rsidR="00104CAF">
              <w:t>,</w:t>
            </w:r>
            <w:r w:rsidRPr="00104CAF">
              <w:t xml:space="preserve"> un lidojumiem, kas ir veikti starp attālākajiem reģioniem.</w:t>
            </w:r>
          </w:p>
          <w:p w:rsidR="00560BC7" w:rsidRPr="00104CAF" w:rsidP="00677A1E">
            <w:pPr>
              <w:pStyle w:val="naiskr"/>
              <w:spacing w:before="60" w:after="60"/>
              <w:ind w:firstLine="227"/>
              <w:jc w:val="both"/>
            </w:pPr>
            <w:r w:rsidRPr="00104CAF">
              <w:t>Šobrīd Noteikumu Nr.</w:t>
            </w:r>
            <w:r w:rsidR="00104CAF">
              <w:t> </w:t>
            </w:r>
            <w:r w:rsidRPr="00104CAF">
              <w:t xml:space="preserve">366 septītā </w:t>
            </w:r>
            <w:r w:rsidR="00104CAF">
              <w:t>no</w:t>
            </w:r>
            <w:r w:rsidRPr="00104CAF">
              <w:t xml:space="preserve">daļa nosaka, ar kādām emisijas kvotām un vienībām gaisa kuģa operatoam ir iespējams izpildīt savas </w:t>
            </w:r>
            <w:r w:rsidRPr="00104CAF">
              <w:t>ikgadējās saistības. Šie nosacījumi jau ir iekļauti Noteikumu Nr.</w:t>
            </w:r>
            <w:r w:rsidR="00104CAF">
              <w:t> </w:t>
            </w:r>
            <w:r w:rsidRPr="00104CAF">
              <w:t>250 47.</w:t>
            </w:r>
            <w:r w:rsidR="00104CAF">
              <w:t> </w:t>
            </w:r>
            <w:r w:rsidRPr="00104CAF">
              <w:t xml:space="preserve">punktā, tādējādi ar šī nosacījuma </w:t>
            </w:r>
            <w:r w:rsidR="00104CAF">
              <w:t>svītrošanu</w:t>
            </w:r>
            <w:r w:rsidRPr="00104CAF">
              <w:t xml:space="preserve"> no noteikumu projekta tiktu nodrošināta dublēta nosacījuma </w:t>
            </w:r>
            <w:r w:rsidR="00104CAF">
              <w:t>novēršana</w:t>
            </w:r>
            <w:r w:rsidRPr="00104CAF">
              <w:t>.</w:t>
            </w:r>
          </w:p>
          <w:p w:rsidR="00CB4AAB" w:rsidRPr="007607D2" w:rsidP="0012446F">
            <w:pPr>
              <w:pStyle w:val="naiskr"/>
              <w:spacing w:before="0" w:after="60"/>
              <w:ind w:firstLine="227"/>
              <w:jc w:val="both"/>
              <w:rPr>
                <w:u w:val="single"/>
              </w:rPr>
            </w:pPr>
            <w:r w:rsidRPr="007607D2">
              <w:rPr>
                <w:u w:val="single"/>
              </w:rPr>
              <w:t xml:space="preserve">Noteikumu </w:t>
            </w:r>
            <w:r w:rsidRPr="007607D2">
              <w:rPr>
                <w:u w:val="single"/>
              </w:rPr>
              <w:t>projekt</w:t>
            </w:r>
            <w:r w:rsidR="003054E1">
              <w:rPr>
                <w:u w:val="single"/>
              </w:rPr>
              <w:t>a</w:t>
            </w:r>
            <w:r w:rsidR="00BC4418">
              <w:rPr>
                <w:u w:val="single"/>
              </w:rPr>
              <w:t xml:space="preserve"> </w:t>
            </w:r>
            <w:r w:rsidRPr="007607D2">
              <w:rPr>
                <w:u w:val="single"/>
              </w:rPr>
              <w:t>mērķi:</w:t>
            </w:r>
          </w:p>
          <w:p w:rsidR="0012446F" w:rsidRPr="007607D2" w:rsidP="0012446F">
            <w:pPr>
              <w:spacing w:after="6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07D2">
              <w:rPr>
                <w:rFonts w:ascii="Times New Roman" w:hAnsi="Times New Roman"/>
                <w:sz w:val="24"/>
                <w:szCs w:val="24"/>
              </w:rPr>
              <w:t>Noteikumu projektā tiek noteikta kārtība, kādā not</w:t>
            </w:r>
            <w:r w:rsidR="00AE415C">
              <w:rPr>
                <w:rFonts w:ascii="Times New Roman" w:hAnsi="Times New Roman"/>
                <w:sz w:val="24"/>
                <w:szCs w:val="24"/>
              </w:rPr>
              <w:t>iek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 xml:space="preserve"> ziņošana par </w:t>
            </w:r>
            <w:r w:rsidR="00BC4418">
              <w:rPr>
                <w:rFonts w:ascii="Times New Roman" w:hAnsi="Times New Roman"/>
                <w:sz w:val="24"/>
                <w:szCs w:val="24"/>
              </w:rPr>
              <w:t xml:space="preserve">bezmaksas 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emisijas kvotu pārdošanā iegūto finanšu līdzekļu izlietojumu un kā tiek pārbaudīt</w:t>
            </w:r>
            <w:r w:rsidR="008A6DC2">
              <w:rPr>
                <w:rFonts w:ascii="Times New Roman" w:hAnsi="Times New Roman"/>
                <w:sz w:val="24"/>
                <w:szCs w:val="24"/>
              </w:rPr>
              <w:t>a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 xml:space="preserve"> pasākumu veikšana, kas ir finansēta no šiem līdzekļiem.</w:t>
            </w:r>
            <w:r w:rsidR="00BC4418">
              <w:rPr>
                <w:rFonts w:ascii="Times New Roman" w:hAnsi="Times New Roman"/>
                <w:sz w:val="24"/>
                <w:szCs w:val="24"/>
              </w:rPr>
              <w:t xml:space="preserve"> Šis nosacījums attiecas uz tiem gaisa kuģu operatoriem, kuri ir saņēmuši bezmaksas emisijas kvotas atbilstoši šo noteikumu III un IV nodaļā noteiktajai kārtībai. </w:t>
            </w:r>
          </w:p>
          <w:p w:rsidR="0012446F" w:rsidRPr="007607D2" w:rsidP="007607D2">
            <w:pPr>
              <w:spacing w:after="6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07D2">
              <w:rPr>
                <w:rFonts w:ascii="Times New Roman" w:hAnsi="Times New Roman"/>
                <w:sz w:val="24"/>
                <w:szCs w:val="24"/>
              </w:rPr>
              <w:t>Noteikumu projektā tiek noteikts, ka gaisa kuģa operators iesniedz emisiju ziņojumu un atskaitās tikai par tiem lidojumiem, k</w:t>
            </w:r>
            <w:r w:rsidR="003054E1">
              <w:rPr>
                <w:rFonts w:ascii="Times New Roman" w:hAnsi="Times New Roman"/>
                <w:sz w:val="24"/>
                <w:szCs w:val="24"/>
              </w:rPr>
              <w:t>as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 xml:space="preserve"> ir iekļauti regulas Nr.</w:t>
            </w:r>
            <w:r w:rsidR="00AE415C">
              <w:rPr>
                <w:rFonts w:ascii="Times New Roman" w:hAnsi="Times New Roman"/>
                <w:sz w:val="24"/>
                <w:szCs w:val="24"/>
              </w:rPr>
              <w:t> 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421/2014 tvērumā – uz</w:t>
            </w:r>
            <w:r w:rsidR="003054E1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AE4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no EEZ valstīm un starp vienu un to pašu attālāko reģionu.</w:t>
            </w:r>
          </w:p>
          <w:p w:rsidR="007607D2" w:rsidP="007607D2">
            <w:pPr>
              <w:spacing w:after="6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07D2">
              <w:rPr>
                <w:rFonts w:ascii="Times New Roman" w:hAnsi="Times New Roman"/>
                <w:sz w:val="24"/>
                <w:szCs w:val="24"/>
              </w:rPr>
              <w:t>Tā kā gaisa kuģa operators, k</w:t>
            </w:r>
            <w:r w:rsidR="003054E1">
              <w:rPr>
                <w:rFonts w:ascii="Times New Roman" w:hAnsi="Times New Roman"/>
                <w:sz w:val="24"/>
                <w:szCs w:val="24"/>
              </w:rPr>
              <w:t>as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 xml:space="preserve"> iepriekš savas saistības nav pildījis, var iesniegt emisiju ziņojumu jebkurā laikā par periodu sākot no 2013.</w:t>
            </w:r>
            <w:r w:rsidR="00305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gada un tā kā regulas Nr.</w:t>
            </w:r>
            <w:r w:rsidR="00305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421/2014 ierobežotais tvērums ir piemēro</w:t>
            </w:r>
            <w:r w:rsidR="003054E1">
              <w:rPr>
                <w:rFonts w:ascii="Times New Roman" w:hAnsi="Times New Roman"/>
                <w:sz w:val="24"/>
                <w:szCs w:val="24"/>
              </w:rPr>
              <w:t>jams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 xml:space="preserve"> no 2013.</w:t>
            </w:r>
            <w:r w:rsidR="00305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gada, noteikumu projektā ir noteikti nosacījumu emisiju ziņojumiem, kas ir iesniedzami par 2013., 2014. un 2015.</w:t>
            </w:r>
            <w:r w:rsidR="00305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7607D2">
              <w:rPr>
                <w:rFonts w:ascii="Times New Roman" w:hAnsi="Times New Roman"/>
                <w:sz w:val="24"/>
                <w:szCs w:val="24"/>
              </w:rPr>
              <w:t>gadu.</w:t>
            </w:r>
          </w:p>
          <w:p w:rsidR="005D3D34" w:rsidRPr="007607D2" w:rsidP="007607D2">
            <w:pPr>
              <w:spacing w:after="60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0F14C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274"/>
          <w:jc w:val="center"/>
        </w:trPr>
        <w:tc>
          <w:tcPr>
            <w:tcW w:w="250" w:type="pct"/>
          </w:tcPr>
          <w:p w:rsidR="00CB4AAB" w:rsidRPr="00FD3ACA" w:rsidP="00B63F0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853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97" w:type="pct"/>
          </w:tcPr>
          <w:p w:rsidR="00FD3ACA" w:rsidRPr="003A1EB7" w:rsidP="005E117D">
            <w:pPr>
              <w:pStyle w:val="naiskr"/>
              <w:spacing w:before="60" w:after="60"/>
              <w:jc w:val="both"/>
              <w:rPr>
                <w:iCs/>
              </w:rPr>
            </w:pPr>
            <w:r w:rsidRPr="003A1EB7">
              <w:rPr>
                <w:iCs/>
              </w:rPr>
              <w:t>VARAM</w:t>
            </w:r>
          </w:p>
          <w:p w:rsidR="00BC4418" w:rsidP="005E117D">
            <w:pPr>
              <w:pStyle w:val="naiskr"/>
              <w:spacing w:before="60" w:after="60"/>
              <w:jc w:val="both"/>
              <w:rPr>
                <w:iCs/>
                <w:u w:val="single"/>
              </w:rPr>
            </w:pPr>
            <w:r>
              <w:t>Valsts aģentūra ,,</w:t>
            </w:r>
            <w:r>
              <w:t>Civilās aviācijas aģentūra</w:t>
            </w:r>
            <w:r>
              <w:t>”</w:t>
            </w:r>
          </w:p>
          <w:p w:rsidR="00F07CD0" w:rsidRPr="00FD3ACA" w:rsidP="005E117D">
            <w:pPr>
              <w:pStyle w:val="naiskr"/>
              <w:spacing w:before="60" w:after="60"/>
              <w:jc w:val="both"/>
              <w:rPr>
                <w:iCs/>
              </w:rPr>
            </w:pPr>
            <w:r w:rsidRPr="00FD3ACA">
              <w:rPr>
                <w:iCs/>
              </w:rPr>
              <w:t xml:space="preserve">Noteikumu </w:t>
            </w:r>
            <w:r w:rsidRPr="00FD3ACA" w:rsidR="00CB4AAB">
              <w:rPr>
                <w:iCs/>
              </w:rPr>
              <w:t>projekta izstrādē netika organizēta darba grupa.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jc w:val="center"/>
        </w:trPr>
        <w:tc>
          <w:tcPr>
            <w:tcW w:w="250" w:type="pct"/>
          </w:tcPr>
          <w:p w:rsidR="00CB4AAB" w:rsidRPr="00FD3ACA" w:rsidP="00B63F0E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53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97" w:type="pct"/>
          </w:tcPr>
          <w:p w:rsidR="00CB4AAB" w:rsidRPr="00FD3ACA" w:rsidP="00C750D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C750DE">
              <w:rPr>
                <w:rFonts w:ascii="Times New Roman" w:hAnsi="Times New Roman"/>
                <w:sz w:val="24"/>
                <w:szCs w:val="24"/>
              </w:rPr>
              <w:t>Noteikumu projekta izstrādē netika organizēta darba grupa.</w:t>
            </w:r>
          </w:p>
        </w:tc>
      </w:tr>
    </w:tbl>
    <w:p w:rsidR="00CB4AAB" w:rsidRPr="00F122F9" w:rsidP="0034370D">
      <w:pPr>
        <w:spacing w:after="0"/>
        <w:ind w:firstLine="301"/>
        <w:jc w:val="left"/>
        <w:rPr>
          <w:rFonts w:ascii="Times New Roman" w:hAnsi="Times New Roman"/>
          <w:sz w:val="24"/>
          <w:szCs w:val="24"/>
          <w:lang w:eastAsia="lv-LV"/>
        </w:rPr>
      </w:pPr>
      <w:r w:rsidRPr="00F122F9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2"/>
        <w:gridCol w:w="1787"/>
        <w:gridCol w:w="7370"/>
      </w:tblGrid>
      <w:tr w:rsidTr="003F5D80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0A0"/>
        </w:tblPrEx>
        <w:trPr>
          <w:trHeight w:val="555"/>
          <w:jc w:val="center"/>
        </w:trPr>
        <w:tc>
          <w:tcPr>
            <w:tcW w:w="0" w:type="auto"/>
            <w:gridSpan w:val="3"/>
            <w:vAlign w:val="center"/>
          </w:tcPr>
          <w:p w:rsidR="00CB4AAB" w:rsidRPr="00FD3ACA" w:rsidP="00B63F0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1E78DC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FD3AC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274"/>
          <w:jc w:val="center"/>
        </w:trPr>
        <w:tc>
          <w:tcPr>
            <w:tcW w:w="250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27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823" w:type="pct"/>
          </w:tcPr>
          <w:p w:rsidR="00F53736" w:rsidRPr="001E78DC" w:rsidP="00FD3ACA">
            <w:pPr>
              <w:pStyle w:val="naiskr"/>
              <w:numPr>
                <w:ilvl w:val="0"/>
                <w:numId w:val="15"/>
              </w:numPr>
              <w:spacing w:before="60" w:after="60"/>
              <w:ind w:left="368"/>
              <w:jc w:val="both"/>
              <w:rPr>
                <w:bCs/>
                <w:shd w:val="clear" w:color="auto" w:fill="FFFFFF"/>
              </w:rPr>
            </w:pPr>
            <w:r w:rsidRPr="001E78DC">
              <w:rPr>
                <w:bCs/>
                <w:shd w:val="clear" w:color="auto" w:fill="FFFFFF"/>
              </w:rPr>
              <w:t xml:space="preserve">ES ETS gaisa kuģa operatorus attiecībā uz informācijas </w:t>
            </w:r>
            <w:r w:rsidRPr="001E78DC">
              <w:t>par emisijas kvotu pārdošanā iegūto finanšu līdzekļu izlietojumu sagatavošanu un iesniegšanu, kā arī verificētājus par līdzekļu izlietojuma pārbaudi</w:t>
            </w:r>
            <w:r w:rsidR="00111E52">
              <w:t>.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510"/>
          <w:jc w:val="center"/>
        </w:trPr>
        <w:tc>
          <w:tcPr>
            <w:tcW w:w="250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27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823" w:type="pct"/>
          </w:tcPr>
          <w:p w:rsidR="00CB4AAB" w:rsidRPr="00FD3ACA">
            <w:pPr>
              <w:spacing w:before="60"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Noteikumu </w:t>
            </w: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>projekta tiesiskā regulējuma paredzamā ietekme uz administratīvo slogu:</w:t>
            </w:r>
          </w:p>
          <w:p w:rsidR="00CB4AAB" w:rsidRPr="00FD3ACA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FD3ACA">
              <w:rPr>
                <w:rFonts w:ascii="Times New Roman" w:hAnsi="Times New Roman"/>
                <w:i/>
                <w:sz w:val="24"/>
                <w:szCs w:val="24"/>
              </w:rPr>
              <w:t xml:space="preserve">ES ETS </w:t>
            </w:r>
            <w:r w:rsidRPr="00FD3ACA" w:rsidR="007607D2">
              <w:rPr>
                <w:rFonts w:ascii="Times New Roman" w:hAnsi="Times New Roman"/>
                <w:i/>
                <w:sz w:val="24"/>
                <w:szCs w:val="24"/>
              </w:rPr>
              <w:t xml:space="preserve">gaisa kuģu </w:t>
            </w:r>
            <w:r w:rsidRPr="00FD3ACA">
              <w:rPr>
                <w:rFonts w:ascii="Times New Roman" w:hAnsi="Times New Roman"/>
                <w:i/>
                <w:sz w:val="24"/>
                <w:szCs w:val="24"/>
              </w:rPr>
              <w:t>operatoriem</w:t>
            </w:r>
          </w:p>
          <w:p w:rsidR="00EC321F" w:rsidRPr="00FD3ACA" w:rsidP="00EC321F">
            <w:pPr>
              <w:spacing w:before="60" w:after="60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 xml:space="preserve"> ES ETS operatoriem var nedaudz palielināties administratīvais slogs, jo katru gadu kopā ar emisiju ziņojumu vajadzēs iesniegt informāciju par emisijas kvotu pārdošanā iegūto finanšu līdzekļu izlietojumu – emisijas kvotu pārdošanas apjomi, iegūtie finanšu līdzekļi, veiktie SEG emisiju samazināšanas pasākumi un to veikšanai iztērētie līdzekļi.</w:t>
            </w:r>
          </w:p>
          <w:p w:rsidR="00CB4AAB" w:rsidRPr="00FD3ACA">
            <w:pPr>
              <w:spacing w:before="60"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Noteikumu </w:t>
            </w: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>projekta tiesiskā regulējuma ietekme uz uzņēmējdarbības vidi</w:t>
            </w:r>
          </w:p>
          <w:p w:rsidR="00470F41" w:rsidRPr="00FD3ACA" w:rsidP="00470F41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</w:rPr>
            </w:pPr>
            <w:r w:rsidRPr="00FD3ACA">
              <w:rPr>
                <w:rFonts w:ascii="Times New Roman" w:hAnsi="Times New Roman"/>
                <w:i/>
                <w:sz w:val="24"/>
                <w:szCs w:val="24"/>
              </w:rPr>
              <w:t>ES ETS</w:t>
            </w:r>
            <w:r w:rsidRPr="00FD3ACA" w:rsidR="007607D2">
              <w:rPr>
                <w:rFonts w:ascii="Times New Roman" w:hAnsi="Times New Roman"/>
                <w:i/>
                <w:sz w:val="24"/>
                <w:szCs w:val="24"/>
              </w:rPr>
              <w:t xml:space="preserve"> gaisa kuģu</w:t>
            </w:r>
            <w:r w:rsidRPr="00FD3ACA">
              <w:rPr>
                <w:rFonts w:ascii="Times New Roman" w:hAnsi="Times New Roman"/>
                <w:i/>
                <w:sz w:val="24"/>
                <w:szCs w:val="24"/>
              </w:rPr>
              <w:t xml:space="preserve"> operatoriem</w:t>
            </w:r>
          </w:p>
          <w:p w:rsidR="00BF14CB" w:rsidRPr="00FD3AC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>Nav paredzama būtiska ietekme uz uzņēmējdarbības vidi.</w:t>
            </w:r>
          </w:p>
          <w:p w:rsidR="00CB4AAB" w:rsidRPr="00FD3ACA">
            <w:pPr>
              <w:spacing w:before="60" w:after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Noteikumu </w:t>
            </w: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projekta ietekme uz Nacionālā attīstības plāna rādītājiem, </w:t>
            </w:r>
            <w:r w:rsidRPr="00FD3ACA">
              <w:rPr>
                <w:rFonts w:ascii="Times New Roman" w:hAnsi="Times New Roman"/>
                <w:sz w:val="24"/>
                <w:szCs w:val="24"/>
                <w:u w:val="single"/>
              </w:rPr>
              <w:t>mikro vai makro līmenī</w:t>
            </w:r>
          </w:p>
          <w:p w:rsidR="00F07CD0" w:rsidRPr="001E78DC" w:rsidP="005E117D">
            <w:pPr>
              <w:spacing w:before="60" w:after="60"/>
              <w:ind w:firstLine="22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E78DC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Pr="001E78DC" w:rsidR="00470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510"/>
          <w:jc w:val="center"/>
        </w:trPr>
        <w:tc>
          <w:tcPr>
            <w:tcW w:w="250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927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823" w:type="pct"/>
          </w:tcPr>
          <w:p w:rsidR="0074243C" w:rsidRPr="00FD3ACA" w:rsidP="00470F41">
            <w:pPr>
              <w:spacing w:before="60" w:after="6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 xml:space="preserve">Šobrīd netiek paredzēta </w:t>
            </w:r>
            <w:r w:rsidRPr="00FD3ACA" w:rsidR="00470F41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FD3ACA">
              <w:rPr>
                <w:rFonts w:ascii="Times New Roman" w:hAnsi="Times New Roman"/>
                <w:sz w:val="24"/>
                <w:szCs w:val="24"/>
              </w:rPr>
              <w:t>projektā iekļauto nosacījumu ietekme uz administratīvajām izmaksām (naudas izteiksmē)</w:t>
            </w:r>
            <w:r w:rsidRPr="00FD3ACA" w:rsidR="002C68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Tr="00F122F9">
        <w:tblPrEx>
          <w:tblW w:w="9639" w:type="dxa"/>
          <w:jc w:val="center"/>
          <w:tblCellMar>
            <w:left w:w="57" w:type="dxa"/>
            <w:right w:w="57" w:type="dxa"/>
          </w:tblCellMar>
          <w:tblLook w:val="00A0"/>
        </w:tblPrEx>
        <w:trPr>
          <w:trHeight w:val="345"/>
          <w:jc w:val="center"/>
        </w:trPr>
        <w:tc>
          <w:tcPr>
            <w:tcW w:w="250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27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23" w:type="pct"/>
          </w:tcPr>
          <w:p w:rsidR="00CB4AAB" w:rsidRPr="00FD3ACA" w:rsidP="00B63F0E">
            <w:pPr>
              <w:pStyle w:val="BodyTextIndent2"/>
              <w:spacing w:before="60" w:after="60" w:line="240" w:lineRule="auto"/>
              <w:ind w:left="0" w:firstLine="113"/>
              <w:jc w:val="both"/>
            </w:pPr>
            <w:r w:rsidRPr="00FD3ACA">
              <w:t>Nav</w:t>
            </w:r>
          </w:p>
        </w:tc>
      </w:tr>
    </w:tbl>
    <w:p w:rsidR="00F07CD0" w:rsidP="005E117D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55"/>
        <w:gridCol w:w="1998"/>
        <w:gridCol w:w="6803"/>
      </w:tblGrid>
      <w:tr w:rsidTr="003A1EB7">
        <w:tblPrEx>
          <w:tblW w:w="9356" w:type="dxa"/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A0"/>
        </w:tblPrEx>
        <w:trPr>
          <w:jc w:val="center"/>
        </w:trPr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61EC9" w:rsidRPr="00061EC9" w:rsidP="003A1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EC9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  <w:r w:rsidR="00C83A3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61EC9">
              <w:rPr>
                <w:rFonts w:ascii="Times New Roman" w:hAnsi="Times New Roman"/>
                <w:b/>
                <w:sz w:val="24"/>
                <w:szCs w:val="24"/>
              </w:rPr>
              <w:t>Tiesību akta projekta atbilstība Latvijas Republikas starptautiskajām saistībām</w:t>
            </w:r>
          </w:p>
        </w:tc>
      </w:tr>
      <w:tr w:rsidTr="00FD3ACA">
        <w:tblPrEx>
          <w:tblW w:w="9356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A0"/>
        </w:tblPrEx>
        <w:trPr>
          <w:jc w:val="center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EC9" w:rsidRPr="00061EC9" w:rsidP="003A1EB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EC9" w:rsidRPr="00061EC9" w:rsidP="003A1EB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62F82" w:rsidP="003A1EB7">
            <w:pPr>
              <w:autoSpaceDE w:val="0"/>
              <w:autoSpaceDN w:val="0"/>
              <w:adjustRightInd w:val="0"/>
              <w:spacing w:after="6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N</w:t>
            </w:r>
            <w:r w:rsidR="00164F89">
              <w:rPr>
                <w:rFonts w:ascii="Times New Roman" w:hAnsi="Times New Roman"/>
                <w:sz w:val="24"/>
                <w:szCs w:val="24"/>
              </w:rPr>
              <w:t>oteikumu</w:t>
            </w:r>
            <w:r w:rsidRPr="00061EC9">
              <w:rPr>
                <w:rFonts w:ascii="Times New Roman" w:hAnsi="Times New Roman"/>
                <w:sz w:val="24"/>
                <w:szCs w:val="24"/>
              </w:rPr>
              <w:t xml:space="preserve"> projekts sagatavots, ievērojot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6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EC9" w:rsidRPr="00162F82" w:rsidP="00162F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39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Eiropas Parlamenta un Padomes 2014.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gada 16.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aprīļa Regulu Nr.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421/2014, ar ko groza Direktīvu 2003/87/EK, ar kuru nosaka sistēmu siltumnīcas efektu izraisošo gāzu emisijas kvotu tirdzniecībai Kopienā, jo paredzams, ka līdz 2020.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gadam tiks īstenota starptautiska vienošanās par vienota un globāla tirgus mehānisma piemērošanu st</w:t>
            </w:r>
            <w:r w:rsidRPr="00162F82" w:rsidR="00162F82">
              <w:rPr>
                <w:color w:val="000000"/>
                <w:sz w:val="24"/>
                <w:szCs w:val="24"/>
                <w:shd w:val="clear" w:color="auto" w:fill="FFFFFF"/>
              </w:rPr>
              <w:t>arptautiskās aviācijas emisijām;</w:t>
            </w:r>
          </w:p>
          <w:p w:rsidR="00162F82" w:rsidRPr="00C750DE" w:rsidP="00162F8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/>
              <w:ind w:left="39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Eiropas Komisijas 2010.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gada 9.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 xml:space="preserve">jūlija 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egulas Nr. 606/2010</w:t>
            </w:r>
            <w:r w:rsidR="00C83A3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 xml:space="preserve"> ar ko apstiprina Eiropas Aeronavigācijas drošības organizācijas (</w:t>
            </w:r>
            <w:r w:rsidRPr="00C750DE">
              <w:rPr>
                <w:i/>
                <w:color w:val="000000"/>
                <w:sz w:val="24"/>
                <w:szCs w:val="24"/>
                <w:shd w:val="clear" w:color="auto" w:fill="FFFFFF"/>
              </w:rPr>
              <w:t>Eurocontrol</w:t>
            </w:r>
            <w:r w:rsidRPr="00162F82">
              <w:rPr>
                <w:color w:val="000000"/>
                <w:sz w:val="24"/>
                <w:szCs w:val="24"/>
                <w:shd w:val="clear" w:color="auto" w:fill="FFFFFF"/>
              </w:rPr>
              <w:t>) izstrādātu vienkāršotu instrumentu degvielas patēriņa aplēsēm konkrētiem gaisa kuģu ekspluatantiem, kas ir mazie emitētāji.</w:t>
            </w:r>
          </w:p>
          <w:p w:rsidR="00061EC9" w:rsidRPr="00061EC9" w:rsidP="00061EC9">
            <w:pPr>
              <w:autoSpaceDE w:val="0"/>
              <w:autoSpaceDN w:val="0"/>
              <w:adjustRightInd w:val="0"/>
              <w:spacing w:after="60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bCs/>
                <w:sz w:val="24"/>
                <w:szCs w:val="24"/>
              </w:rPr>
              <w:t xml:space="preserve">Pārņemti tie Eiropas Savienības tiesību akta panti, kas attiecas uz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regulā noteikto lidojumu tvērumu, par ko jāziņo gaisa kuģu operatoriem</w:t>
            </w:r>
            <w:r w:rsidRPr="00061E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Tr="00FD3ACA">
        <w:tblPrEx>
          <w:tblW w:w="9356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A0"/>
        </w:tblPrEx>
        <w:trPr>
          <w:jc w:val="center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EC9" w:rsidRPr="00061EC9" w:rsidP="003A1EB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EC9" w:rsidRPr="00061EC9" w:rsidP="003A1EB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EC9" w:rsidRPr="00061EC9" w:rsidP="003A1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61EC9">
              <w:rPr>
                <w:rFonts w:ascii="Times New Roman" w:hAnsi="Times New Roman"/>
                <w:color w:val="000000"/>
                <w:sz w:val="24"/>
                <w:szCs w:val="24"/>
              </w:rPr>
              <w:t>rojekts šo jomu neskar.</w:t>
            </w:r>
          </w:p>
        </w:tc>
      </w:tr>
      <w:tr w:rsidTr="00FD3ACA">
        <w:tblPrEx>
          <w:tblW w:w="9356" w:type="dxa"/>
          <w:jc w:val="center"/>
          <w:tblCellMar>
            <w:top w:w="28" w:type="dxa"/>
            <w:left w:w="28" w:type="dxa"/>
            <w:bottom w:w="28" w:type="dxa"/>
            <w:right w:w="28" w:type="dxa"/>
          </w:tblCellMar>
          <w:tblLook w:val="00A0"/>
        </w:tblPrEx>
        <w:trPr>
          <w:jc w:val="center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EC9" w:rsidRPr="00061EC9" w:rsidP="003A1EB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EC9" w:rsidRPr="00061EC9" w:rsidP="003A1EB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EC9" w:rsidRPr="00061EC9" w:rsidP="003A1EB7">
            <w:pPr>
              <w:rPr>
                <w:rFonts w:ascii="Times New Roman" w:hAnsi="Times New Roman"/>
                <w:sz w:val="24"/>
                <w:szCs w:val="24"/>
              </w:rPr>
            </w:pPr>
            <w:r w:rsidRPr="00061EC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061EC9" w:rsidRPr="00061EC9" w:rsidP="005E117D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694"/>
        <w:gridCol w:w="1835"/>
        <w:gridCol w:w="2983"/>
      </w:tblGrid>
      <w:tr w:rsidTr="003A1EB7">
        <w:tblPrEx>
          <w:tblW w:w="935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84"/>
          <w:jc w:val="center"/>
        </w:trPr>
        <w:tc>
          <w:tcPr>
            <w:tcW w:w="9356" w:type="dxa"/>
            <w:gridSpan w:val="4"/>
          </w:tcPr>
          <w:p w:rsidR="00061EC9" w:rsidRPr="00111E52" w:rsidP="00FD3A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E5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83A3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b/>
                <w:sz w:val="24"/>
                <w:szCs w:val="24"/>
              </w:rPr>
              <w:t>tabula</w:t>
            </w:r>
          </w:p>
          <w:p w:rsidR="00061EC9" w:rsidRPr="00111E52" w:rsidP="00FD3A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061EC9" w:rsidRPr="00111E52" w:rsidP="00FD3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Attiecīgā Eiropas Savienības tiesību akta datums, numurs un nosaukums</w:t>
            </w:r>
          </w:p>
        </w:tc>
        <w:tc>
          <w:tcPr>
            <w:tcW w:w="7512" w:type="dxa"/>
            <w:gridSpan w:val="3"/>
          </w:tcPr>
          <w:p w:rsidR="00061EC9" w:rsidRPr="00111E52" w:rsidP="00FD3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Eiropas Parlamenta un Padomes 2014.</w:t>
            </w:r>
            <w:r w:rsidR="00C83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1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gada 16.</w:t>
            </w:r>
            <w:r w:rsidR="00C83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1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aprīļa </w:t>
            </w:r>
            <w:r w:rsidR="00C83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111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egula Nr.</w:t>
            </w:r>
            <w:r w:rsidR="00C83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1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421/2014, ar ko groza Direktīvu 2003/87/EK, ar kuru nosaka sistēmu siltumnīcas efektu izraisošo gāzu emisijas kvotu tirdzniecībai Kopienā, jo paredzams, ka līdz 2020.</w:t>
            </w:r>
            <w:r w:rsidR="00C83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11E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gadam tiks īstenota starptautiska vienošanās par vienota un globāla tirgus mehānisma piemērošanu starptautiskās aviācijas emisijām.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061EC9" w:rsidRPr="00111E52" w:rsidP="00FD3A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061EC9" w:rsidRPr="00111E52" w:rsidP="00FD3A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</w:tcPr>
          <w:p w:rsidR="00061EC9" w:rsidRPr="00111E52" w:rsidP="00FD3A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983" w:type="dxa"/>
          </w:tcPr>
          <w:p w:rsidR="00061EC9" w:rsidRPr="00111E52" w:rsidP="00FD3A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  <w:vAlign w:val="center"/>
          </w:tcPr>
          <w:p w:rsidR="00061EC9" w:rsidRPr="00111E52" w:rsidP="00FD3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1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.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1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.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punkt</w:t>
            </w:r>
            <w:r w:rsidR="00B05DDC">
              <w:rPr>
                <w:rFonts w:ascii="Times New Roman" w:hAnsi="Times New Roman"/>
                <w:sz w:val="24"/>
                <w:szCs w:val="24"/>
              </w:rPr>
              <w:t xml:space="preserve">a izteiktais </w:t>
            </w:r>
            <w:r w:rsidR="00C83A3A">
              <w:rPr>
                <w:rFonts w:ascii="Times New Roman" w:hAnsi="Times New Roman"/>
                <w:sz w:val="24"/>
                <w:szCs w:val="24"/>
              </w:rPr>
              <w:t>direktīvas Nr. </w:t>
            </w:r>
            <w:r w:rsidR="00B05DDC">
              <w:rPr>
                <w:rFonts w:ascii="Times New Roman" w:hAnsi="Times New Roman"/>
                <w:sz w:val="24"/>
                <w:szCs w:val="24"/>
              </w:rPr>
              <w:t>2003/87/EK 28.a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 w:rsidR="00B05DDC">
              <w:rPr>
                <w:rFonts w:ascii="Times New Roman" w:hAnsi="Times New Roman"/>
                <w:sz w:val="24"/>
                <w:szCs w:val="24"/>
              </w:rPr>
              <w:t>panta 1.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 w:rsidR="00B05DDC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694" w:type="dxa"/>
            <w:vAlign w:val="center"/>
          </w:tcPr>
          <w:p w:rsidR="00061EC9" w:rsidRPr="00111E52" w:rsidP="00B05DDC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B05DD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835" w:type="dxa"/>
            <w:vAlign w:val="center"/>
          </w:tcPr>
          <w:p w:rsidR="00061EC9" w:rsidRPr="00111E52" w:rsidP="00FD3A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ārņemts pilnībā</w:t>
            </w:r>
          </w:p>
        </w:tc>
        <w:tc>
          <w:tcPr>
            <w:tcW w:w="2983" w:type="dxa"/>
          </w:tcPr>
          <w:p w:rsidR="00061EC9" w:rsidRPr="00111E52" w:rsidP="00FD3ACA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etiek pārņemts, paredzot stingrākas vai mazāk stingras prasības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  <w:vAlign w:val="center"/>
          </w:tcPr>
          <w:p w:rsidR="00061EC9" w:rsidRPr="00111E52" w:rsidP="00FD3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1.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Pr="00111E52" w:rsidR="00081DE7">
              <w:rPr>
                <w:rFonts w:ascii="Times New Roman" w:hAnsi="Times New Roman"/>
                <w:sz w:val="24"/>
                <w:szCs w:val="24"/>
              </w:rPr>
              <w:t>6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.</w:t>
            </w:r>
            <w:r w:rsidR="00C83A3A">
              <w:rPr>
                <w:rFonts w:ascii="Times New Roman" w:hAnsi="Times New Roman"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punkt</w:t>
            </w:r>
            <w:r w:rsidR="00B05DD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B05DDC">
              <w:rPr>
                <w:rFonts w:ascii="Times New Roman" w:hAnsi="Times New Roman"/>
                <w:sz w:val="24"/>
                <w:szCs w:val="24"/>
              </w:rPr>
              <w:t xml:space="preserve">izteiktais </w:t>
            </w:r>
            <w:r w:rsidR="00C83A3A">
              <w:rPr>
                <w:rFonts w:ascii="Times New Roman" w:hAnsi="Times New Roman"/>
                <w:sz w:val="24"/>
                <w:szCs w:val="24"/>
              </w:rPr>
              <w:t>direktīvas Nr. </w:t>
            </w:r>
            <w:r w:rsidR="00B05DDC">
              <w:rPr>
                <w:rFonts w:ascii="Times New Roman" w:hAnsi="Times New Roman"/>
                <w:sz w:val="24"/>
                <w:szCs w:val="24"/>
              </w:rPr>
              <w:t>2003/87/EK 28.a</w:t>
            </w:r>
            <w:r w:rsidR="00EF2D65">
              <w:rPr>
                <w:rFonts w:ascii="Times New Roman" w:hAnsi="Times New Roman"/>
                <w:sz w:val="24"/>
                <w:szCs w:val="24"/>
              </w:rPr>
              <w:t> </w:t>
            </w:r>
            <w:r w:rsidR="00B05DDC">
              <w:rPr>
                <w:rFonts w:ascii="Times New Roman" w:hAnsi="Times New Roman"/>
                <w:sz w:val="24"/>
                <w:szCs w:val="24"/>
              </w:rPr>
              <w:t>panta 6.</w:t>
            </w:r>
            <w:r w:rsidR="00EF2D65">
              <w:rPr>
                <w:rFonts w:ascii="Times New Roman" w:hAnsi="Times New Roman"/>
                <w:sz w:val="24"/>
                <w:szCs w:val="24"/>
              </w:rPr>
              <w:t> </w:t>
            </w:r>
            <w:r w:rsidR="00B05DDC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694" w:type="dxa"/>
            <w:vAlign w:val="center"/>
          </w:tcPr>
          <w:p w:rsidR="00061EC9" w:rsidRPr="00111E52" w:rsidP="00B05DDC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teikumu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 xml:space="preserve"> projekta </w:t>
            </w:r>
            <w:r w:rsidR="00B05DDC">
              <w:rPr>
                <w:rFonts w:ascii="Times New Roman" w:hAnsi="Times New Roman"/>
                <w:sz w:val="24"/>
                <w:szCs w:val="24"/>
              </w:rPr>
              <w:t>6.</w:t>
            </w:r>
            <w:r w:rsidR="00EF2D65">
              <w:rPr>
                <w:rFonts w:ascii="Times New Roman" w:hAnsi="Times New Roman"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835" w:type="dxa"/>
            <w:vAlign w:val="center"/>
          </w:tcPr>
          <w:p w:rsidR="00061EC9" w:rsidRPr="00111E52" w:rsidP="00FD3ACA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ārņemts pilnībā</w:t>
            </w:r>
          </w:p>
        </w:tc>
        <w:tc>
          <w:tcPr>
            <w:tcW w:w="2983" w:type="dxa"/>
          </w:tcPr>
          <w:p w:rsidR="00061EC9" w:rsidRPr="00111E52" w:rsidP="00FD3ACA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 xml:space="preserve">etiek pārņemts, paredzot stingrākas vai mazāk 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stingras prasības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  <w:vAlign w:val="center"/>
          </w:tcPr>
          <w:p w:rsidR="00162F82" w:rsidRPr="00111E52" w:rsidP="00FD3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Attiecīgā Eiropas Savienības tiesību akta datums, numurs un nosaukums</w:t>
            </w:r>
          </w:p>
        </w:tc>
        <w:tc>
          <w:tcPr>
            <w:tcW w:w="7512" w:type="dxa"/>
            <w:gridSpan w:val="3"/>
            <w:vAlign w:val="center"/>
          </w:tcPr>
          <w:p w:rsidR="00162F82" w:rsidRPr="00111E52" w:rsidP="00162F82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62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Eiropas Komisijas 2010.</w:t>
            </w:r>
            <w:r w:rsidR="00EF2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gada 9.</w:t>
            </w:r>
            <w:r w:rsidR="00EF2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2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jūlija </w:t>
            </w:r>
            <w:r w:rsidR="00EF2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162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egulas Nr. 606/2010</w:t>
            </w:r>
            <w:r w:rsidR="00EF2D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62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ar ko apstiprina Eiropas Aeronavigācijas drošības organizācijas (Eurocontrol) izstrādātu vienkāršotu instrumentu degvielas patēriņa aplēsēm konkrētiem gaisa kuģu ekspluatantiem, kas ir mazie emitētāji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162F82" w:rsidRPr="00111E52" w:rsidP="00162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94" w:type="dxa"/>
          </w:tcPr>
          <w:p w:rsidR="00162F82" w:rsidP="00162F82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35" w:type="dxa"/>
          </w:tcPr>
          <w:p w:rsidR="00162F82" w:rsidRPr="00111E52" w:rsidP="00162F82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983" w:type="dxa"/>
          </w:tcPr>
          <w:p w:rsidR="00162F82" w:rsidRPr="00111E52" w:rsidP="00162F82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162F82" w:rsidRPr="00111E52" w:rsidP="00162F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A1E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pants</w:t>
            </w:r>
          </w:p>
        </w:tc>
        <w:tc>
          <w:tcPr>
            <w:tcW w:w="2694" w:type="dxa"/>
            <w:vAlign w:val="center"/>
          </w:tcPr>
          <w:p w:rsidR="00162F82" w:rsidRPr="00111E52" w:rsidP="00162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teikumu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 xml:space="preserve"> projekta 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A1EB7">
              <w:rPr>
                <w:rFonts w:ascii="Times New Roman" w:hAnsi="Times New Roman"/>
                <w:sz w:val="24"/>
                <w:szCs w:val="24"/>
              </w:rPr>
              <w:t> 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1835" w:type="dxa"/>
            <w:vAlign w:val="center"/>
          </w:tcPr>
          <w:p w:rsidR="00162F82" w:rsidRPr="00111E52" w:rsidP="00162F82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11E52">
              <w:rPr>
                <w:rFonts w:ascii="Times New Roman" w:hAnsi="Times New Roman"/>
                <w:sz w:val="24"/>
                <w:szCs w:val="24"/>
              </w:rPr>
              <w:t>ārņemts pilnībā</w:t>
            </w:r>
          </w:p>
        </w:tc>
        <w:tc>
          <w:tcPr>
            <w:tcW w:w="2983" w:type="dxa"/>
          </w:tcPr>
          <w:p w:rsidR="00162F82" w:rsidRPr="00111E52" w:rsidP="00162F82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Pr="00111E52">
              <w:rPr>
                <w:rFonts w:ascii="Times New Roman" w:hAnsi="Times New Roman"/>
                <w:sz w:val="24"/>
                <w:szCs w:val="24"/>
              </w:rPr>
              <w:t>etiek pārņemts, paredzot stingrākas vai mazāk stingras prasības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162F82" w:rsidRPr="00111E52">
            <w:pPr>
              <w:pStyle w:val="naisc"/>
              <w:spacing w:before="0" w:after="0"/>
              <w:jc w:val="both"/>
            </w:pPr>
            <w:r w:rsidRPr="00111E52">
              <w:t>Kā ir izmantota ES tiesību aktā paredzētā rīcības brīvība dalībvalstij pārņemt vai ieviest noteiktas ES tiesību akta normas?</w:t>
            </w:r>
          </w:p>
          <w:p w:rsidR="00162F82" w:rsidRPr="00111E52" w:rsidP="00FD3ACA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Kādēļ?</w:t>
            </w:r>
          </w:p>
        </w:tc>
        <w:tc>
          <w:tcPr>
            <w:tcW w:w="7512" w:type="dxa"/>
            <w:gridSpan w:val="3"/>
          </w:tcPr>
          <w:p w:rsidR="00162F82" w:rsidRPr="00111E52" w:rsidP="0069679B">
            <w:pPr>
              <w:pStyle w:val="naisc"/>
              <w:spacing w:before="0" w:after="0"/>
              <w:jc w:val="both"/>
            </w:pPr>
            <w:r w:rsidRPr="00111E52">
              <w:t>Dalībvalstīm netiek paredzēta rīcības brīvība</w:t>
            </w:r>
            <w:r w:rsidR="0069679B">
              <w:t>.</w:t>
            </w:r>
            <w:r w:rsidRPr="00111E52">
              <w:t xml:space="preserve"> 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162F82" w:rsidRPr="00111E52" w:rsidP="00FD3ACA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atbalsts piešķiršanas un finanšu noteikumus (attiecībā un monetāro politiku)</w:t>
            </w:r>
          </w:p>
        </w:tc>
        <w:tc>
          <w:tcPr>
            <w:tcW w:w="7512" w:type="dxa"/>
            <w:gridSpan w:val="3"/>
          </w:tcPr>
          <w:p w:rsidR="00162F82" w:rsidRPr="00111E52">
            <w:pPr>
              <w:pStyle w:val="naisc"/>
              <w:spacing w:before="0" w:after="0"/>
              <w:jc w:val="both"/>
            </w:pPr>
            <w:r>
              <w:rPr>
                <w:color w:val="000000"/>
                <w:lang w:eastAsia="en-US"/>
              </w:rPr>
              <w:t>Noteikumu p</w:t>
            </w:r>
            <w:r w:rsidRPr="00111E52">
              <w:rPr>
                <w:color w:val="000000"/>
                <w:lang w:eastAsia="en-US"/>
              </w:rPr>
              <w:t>rojekts šo jomu neskar.</w:t>
            </w:r>
          </w:p>
        </w:tc>
      </w:tr>
      <w:tr w:rsidTr="00C750DE">
        <w:tblPrEx>
          <w:tblW w:w="9356" w:type="dxa"/>
          <w:jc w:val="center"/>
          <w:tblLayout w:type="fixed"/>
          <w:tblLook w:val="0000"/>
        </w:tblPrEx>
        <w:trPr>
          <w:trHeight w:val="284"/>
          <w:jc w:val="center"/>
        </w:trPr>
        <w:tc>
          <w:tcPr>
            <w:tcW w:w="1844" w:type="dxa"/>
          </w:tcPr>
          <w:p w:rsidR="00162F82" w:rsidRPr="00111E52" w:rsidP="00FD3ACA">
            <w:pPr>
              <w:spacing w:after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11E52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12" w:type="dxa"/>
            <w:gridSpan w:val="3"/>
          </w:tcPr>
          <w:p w:rsidR="00162F82" w:rsidRPr="00111E52">
            <w:pPr>
              <w:pStyle w:val="naisc"/>
              <w:spacing w:before="0" w:after="0"/>
              <w:jc w:val="both"/>
            </w:pPr>
            <w:r w:rsidRPr="00111E52">
              <w:rPr>
                <w:iCs/>
                <w:lang w:val="de-DE"/>
              </w:rPr>
              <w:t>Nav</w:t>
            </w:r>
          </w:p>
        </w:tc>
      </w:tr>
    </w:tbl>
    <w:p w:rsidR="00061EC9" w:rsidP="005E117D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</w:p>
    <w:p w:rsidR="00061EC9" w:rsidRPr="00F122F9" w:rsidP="005E117D">
      <w:pPr>
        <w:shd w:val="clear" w:color="auto" w:fill="FFFFFF"/>
        <w:spacing w:after="0"/>
        <w:jc w:val="lef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2"/>
        <w:gridCol w:w="2637"/>
        <w:gridCol w:w="6520"/>
      </w:tblGrid>
      <w:tr w:rsidTr="005E117D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420"/>
          <w:jc w:val="center"/>
        </w:trPr>
        <w:tc>
          <w:tcPr>
            <w:tcW w:w="0" w:type="auto"/>
            <w:gridSpan w:val="3"/>
            <w:vAlign w:val="center"/>
          </w:tcPr>
          <w:p w:rsidR="00CB4AAB" w:rsidRPr="00FD3ACA" w:rsidP="00B63F0E">
            <w:pPr>
              <w:pStyle w:val="tvhtml"/>
              <w:spacing w:before="60" w:beforeAutospacing="0" w:after="60" w:afterAutospacing="0"/>
              <w:jc w:val="center"/>
              <w:rPr>
                <w:b/>
                <w:bCs/>
              </w:rPr>
            </w:pPr>
            <w:r w:rsidRPr="00FD3ACA">
              <w:rPr>
                <w:b/>
                <w:bCs/>
              </w:rPr>
              <w:t>VI.</w:t>
            </w:r>
            <w:r w:rsidR="001E78DC">
              <w:rPr>
                <w:b/>
                <w:bCs/>
              </w:rPr>
              <w:t> </w:t>
            </w:r>
            <w:r w:rsidRPr="00FD3ACA">
              <w:rPr>
                <w:b/>
                <w:bCs/>
              </w:rPr>
              <w:t>Sabiedrības līdzdalība un komunikācijas aktivitātes</w:t>
            </w: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540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rPr>
                <w:rFonts w:ascii="Times New Roman" w:hAnsi="Times New Roman"/>
              </w:rPr>
            </w:pPr>
            <w:r w:rsidRPr="00F122F9">
              <w:rPr>
                <w:rFonts w:ascii="Times New Roman" w:hAnsi="Times New Roman"/>
              </w:rPr>
              <w:t>1.</w:t>
            </w:r>
          </w:p>
        </w:tc>
        <w:tc>
          <w:tcPr>
            <w:tcW w:w="1368" w:type="pct"/>
          </w:tcPr>
          <w:p w:rsidR="00CB4AAB" w:rsidRPr="00FD3ACA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 xml:space="preserve">Plānotās sabiedrības līdzdalības un </w:t>
            </w:r>
            <w:r w:rsidRPr="00FD3ACA">
              <w:rPr>
                <w:rFonts w:ascii="Times New Roman" w:hAnsi="Times New Roman"/>
                <w:sz w:val="24"/>
                <w:szCs w:val="24"/>
              </w:rPr>
              <w:t>komunikācijas aktivitātes saistībā ar projektu</w:t>
            </w:r>
          </w:p>
        </w:tc>
        <w:tc>
          <w:tcPr>
            <w:tcW w:w="3382" w:type="pct"/>
          </w:tcPr>
          <w:p w:rsidR="00CB4AAB" w:rsidRPr="00E33A21" w:rsidP="006817ED">
            <w:pPr>
              <w:pStyle w:val="naiskr"/>
              <w:spacing w:before="60" w:after="60"/>
              <w:jc w:val="both"/>
            </w:pPr>
            <w:r w:rsidRPr="001E78DC">
              <w:t>Saskaņā ar Ministru kabineta 2009.</w:t>
            </w:r>
            <w:r w:rsidR="001E78DC">
              <w:t> </w:t>
            </w:r>
            <w:r w:rsidRPr="001E78DC">
              <w:t>gada 25.</w:t>
            </w:r>
            <w:r w:rsidR="001E78DC">
              <w:t> </w:t>
            </w:r>
            <w:r w:rsidRPr="001E78DC">
              <w:t>augusta noteikumu Nr.</w:t>
            </w:r>
            <w:r w:rsidR="001E78DC">
              <w:t> </w:t>
            </w:r>
            <w:r w:rsidRPr="001E78DC">
              <w:t xml:space="preserve">970 „Sabiedrības līdzdalības kārtība attīstības plānošanas </w:t>
            </w:r>
            <w:r w:rsidRPr="001E78DC">
              <w:t>procesā” 7.4.</w:t>
            </w:r>
            <w:r w:rsidRPr="001E78DC">
              <w:rPr>
                <w:vertAlign w:val="superscript"/>
              </w:rPr>
              <w:t>1</w:t>
            </w:r>
            <w:r w:rsidR="001E78DC">
              <w:rPr>
                <w:vertAlign w:val="superscript"/>
              </w:rPr>
              <w:t> </w:t>
            </w:r>
            <w:r w:rsidRPr="001E78DC">
              <w:t xml:space="preserve">apakšpunktu sabiedrības pārstāvji ir aicināti līdzdarboties, rakstiski sniedzot viedokli par </w:t>
            </w:r>
            <w:r w:rsidRPr="00E33A21" w:rsidR="006817ED">
              <w:t xml:space="preserve">noteikumu </w:t>
            </w:r>
            <w:r w:rsidRPr="00E33A21">
              <w:t>projektu tā izstrādes stadijā. Sabiedrības pārstāvji ir informēti par iespēju līdzdarboties, publicējot paziņojumu par līdzdalības procesu V</w:t>
            </w:r>
            <w:r w:rsidR="00E33A21">
              <w:t>ARAM</w:t>
            </w:r>
            <w:r w:rsidR="0069679B">
              <w:t xml:space="preserve"> </w:t>
            </w:r>
            <w:r w:rsidRPr="00E33A21">
              <w:t>tīmekļa vietnē.</w:t>
            </w: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330"/>
          <w:jc w:val="center"/>
        </w:trPr>
        <w:tc>
          <w:tcPr>
            <w:tcW w:w="250" w:type="pct"/>
          </w:tcPr>
          <w:p w:rsidR="002C68A0" w:rsidRPr="00F122F9" w:rsidP="00B63F0E">
            <w:pPr>
              <w:spacing w:before="60" w:after="60"/>
              <w:rPr>
                <w:rFonts w:ascii="Times New Roman" w:hAnsi="Times New Roman"/>
              </w:rPr>
            </w:pPr>
            <w:r w:rsidRPr="00F122F9">
              <w:rPr>
                <w:rFonts w:ascii="Times New Roman" w:hAnsi="Times New Roman"/>
              </w:rPr>
              <w:t>2.</w:t>
            </w:r>
          </w:p>
        </w:tc>
        <w:tc>
          <w:tcPr>
            <w:tcW w:w="1368" w:type="pct"/>
          </w:tcPr>
          <w:p w:rsidR="002C68A0" w:rsidRPr="00FD3ACA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82" w:type="pct"/>
          </w:tcPr>
          <w:p w:rsidR="002C68A0" w:rsidRPr="00E33A21" w:rsidP="008A6D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E78DC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1E78DC">
              <w:rPr>
                <w:rFonts w:ascii="Times New Roman" w:hAnsi="Times New Roman"/>
                <w:sz w:val="24"/>
                <w:szCs w:val="24"/>
              </w:rPr>
              <w:t>projekts publicēts V</w:t>
            </w:r>
            <w:r w:rsidR="00E33A21">
              <w:rPr>
                <w:rFonts w:ascii="Times New Roman" w:hAnsi="Times New Roman"/>
                <w:sz w:val="24"/>
                <w:szCs w:val="24"/>
              </w:rPr>
              <w:t>ARAM</w:t>
            </w:r>
            <w:r w:rsidRPr="001E78DC">
              <w:rPr>
                <w:rFonts w:ascii="Times New Roman" w:hAnsi="Times New Roman"/>
                <w:sz w:val="24"/>
                <w:szCs w:val="24"/>
              </w:rPr>
              <w:t xml:space="preserve"> tīmekļa vie</w:t>
            </w:r>
            <w:r w:rsidRPr="00E33A21">
              <w:rPr>
                <w:rFonts w:ascii="Times New Roman" w:hAnsi="Times New Roman"/>
                <w:sz w:val="24"/>
                <w:szCs w:val="24"/>
              </w:rPr>
              <w:t xml:space="preserve">tnē </w:t>
            </w:r>
            <w:r w:rsidRPr="008A6DC2">
              <w:rPr>
                <w:rFonts w:ascii="Times New Roman" w:hAnsi="Times New Roman"/>
                <w:sz w:val="24"/>
                <w:szCs w:val="24"/>
              </w:rPr>
              <w:t>2016.</w:t>
            </w:r>
            <w:r w:rsidRPr="008A6DC2" w:rsidR="00E33A21">
              <w:rPr>
                <w:rFonts w:ascii="Times New Roman" w:hAnsi="Times New Roman"/>
                <w:sz w:val="24"/>
                <w:szCs w:val="24"/>
              </w:rPr>
              <w:t> </w:t>
            </w:r>
            <w:r w:rsidRPr="008A6DC2">
              <w:rPr>
                <w:rFonts w:ascii="Times New Roman" w:hAnsi="Times New Roman"/>
                <w:sz w:val="24"/>
                <w:szCs w:val="24"/>
              </w:rPr>
              <w:t>gada </w:t>
            </w:r>
            <w:r w:rsidRPr="008A6DC2" w:rsidR="008A6DC2">
              <w:rPr>
                <w:rFonts w:ascii="Times New Roman" w:hAnsi="Times New Roman"/>
                <w:sz w:val="24"/>
                <w:szCs w:val="24"/>
              </w:rPr>
              <w:t>11</w:t>
            </w:r>
            <w:r w:rsidRPr="008A6DC2">
              <w:rPr>
                <w:rFonts w:ascii="Times New Roman" w:hAnsi="Times New Roman"/>
                <w:sz w:val="24"/>
                <w:szCs w:val="24"/>
              </w:rPr>
              <w:t>.</w:t>
            </w:r>
            <w:r w:rsidRPr="008A6DC2" w:rsidR="00EB071F">
              <w:rPr>
                <w:rFonts w:ascii="Times New Roman" w:hAnsi="Times New Roman"/>
                <w:sz w:val="24"/>
                <w:szCs w:val="24"/>
              </w:rPr>
              <w:t>oktobrī</w:t>
            </w:r>
            <w:r w:rsidRPr="008A6D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465"/>
          <w:jc w:val="center"/>
        </w:trPr>
        <w:tc>
          <w:tcPr>
            <w:tcW w:w="250" w:type="pct"/>
          </w:tcPr>
          <w:p w:rsidR="002C68A0" w:rsidRPr="00F122F9" w:rsidP="00B63F0E">
            <w:pPr>
              <w:spacing w:before="60" w:after="60"/>
              <w:rPr>
                <w:rFonts w:ascii="Times New Roman" w:hAnsi="Times New Roman"/>
              </w:rPr>
            </w:pPr>
            <w:r w:rsidRPr="00F122F9">
              <w:rPr>
                <w:rFonts w:ascii="Times New Roman" w:hAnsi="Times New Roman"/>
              </w:rPr>
              <w:t>3.</w:t>
            </w:r>
          </w:p>
        </w:tc>
        <w:tc>
          <w:tcPr>
            <w:tcW w:w="1368" w:type="pct"/>
          </w:tcPr>
          <w:p w:rsidR="002C68A0" w:rsidRPr="00FD3ACA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382" w:type="pct"/>
          </w:tcPr>
          <w:p w:rsidR="002C68A0" w:rsidRPr="001E78DC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20E71">
              <w:rPr>
                <w:rFonts w:ascii="Times New Roman" w:hAnsi="Times New Roman"/>
                <w:sz w:val="24"/>
                <w:szCs w:val="24"/>
              </w:rPr>
              <w:t xml:space="preserve">Pēc noteikumu projekta ievietošanas </w:t>
            </w:r>
            <w:r w:rsidR="0069679B">
              <w:rPr>
                <w:rFonts w:ascii="Times New Roman" w:hAnsi="Times New Roman"/>
                <w:sz w:val="24"/>
                <w:szCs w:val="24"/>
              </w:rPr>
              <w:t xml:space="preserve">VARAM </w:t>
            </w:r>
            <w:r w:rsidRPr="00220E71">
              <w:rPr>
                <w:rFonts w:ascii="Times New Roman" w:hAnsi="Times New Roman"/>
                <w:sz w:val="24"/>
                <w:szCs w:val="24"/>
              </w:rPr>
              <w:t>tīmekļa vietnē netika saņemti priekšlikumi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iebildumi</w:t>
            </w:r>
            <w:r w:rsidRPr="00220E71">
              <w:rPr>
                <w:rFonts w:ascii="Times New Roman" w:hAnsi="Times New Roman"/>
                <w:sz w:val="24"/>
                <w:szCs w:val="24"/>
              </w:rPr>
              <w:t xml:space="preserve"> par noteikumu projektu.</w:t>
            </w: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465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rPr>
                <w:rFonts w:ascii="Times New Roman" w:hAnsi="Times New Roman"/>
              </w:rPr>
            </w:pPr>
            <w:r w:rsidRPr="00F122F9">
              <w:rPr>
                <w:rFonts w:ascii="Times New Roman" w:hAnsi="Times New Roman"/>
              </w:rPr>
              <w:t>4.</w:t>
            </w:r>
          </w:p>
        </w:tc>
        <w:tc>
          <w:tcPr>
            <w:tcW w:w="1368" w:type="pct"/>
          </w:tcPr>
          <w:p w:rsidR="00CB4AAB" w:rsidRPr="00FD3ACA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ACA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82" w:type="pct"/>
          </w:tcPr>
          <w:p w:rsidR="00CB4AAB" w:rsidRPr="001E78DC" w:rsidP="00B63F0E">
            <w:pPr>
              <w:pStyle w:val="tvhtml"/>
              <w:spacing w:before="60" w:beforeAutospacing="0" w:after="60" w:afterAutospacing="0"/>
            </w:pPr>
            <w:r w:rsidRPr="001E78DC">
              <w:t>Nav</w:t>
            </w:r>
          </w:p>
        </w:tc>
      </w:tr>
    </w:tbl>
    <w:p w:rsidR="00CB4AAB" w:rsidRPr="00F122F9" w:rsidP="00E01818">
      <w:pPr>
        <w:shd w:val="clear" w:color="auto" w:fill="FFFFFF"/>
        <w:spacing w:after="0"/>
        <w:ind w:firstLine="335"/>
        <w:jc w:val="left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82"/>
        <w:gridCol w:w="2070"/>
        <w:gridCol w:w="7087"/>
      </w:tblGrid>
      <w:tr w:rsidTr="005E117D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375"/>
          <w:jc w:val="center"/>
        </w:trPr>
        <w:tc>
          <w:tcPr>
            <w:tcW w:w="0" w:type="auto"/>
            <w:gridSpan w:val="3"/>
            <w:vAlign w:val="center"/>
          </w:tcPr>
          <w:p w:rsidR="00CB4AAB" w:rsidRPr="00FD3ACA" w:rsidP="00B63F0E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1E78DC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FD3AC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420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jc w:val="left"/>
              <w:rPr>
                <w:rFonts w:ascii="Times New Roman" w:hAnsi="Times New Roman"/>
                <w:lang w:eastAsia="lv-LV"/>
              </w:rPr>
            </w:pPr>
            <w:r w:rsidRPr="00F122F9"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1074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676" w:type="pct"/>
          </w:tcPr>
          <w:p w:rsidR="002C68A0" w:rsidP="004134E1">
            <w:pPr>
              <w:pStyle w:val="naisnod"/>
              <w:spacing w:before="40" w:after="40"/>
              <w:jc w:val="both"/>
              <w:rPr>
                <w:b w:val="0"/>
              </w:rPr>
            </w:pPr>
            <w:r w:rsidRPr="001E78DC">
              <w:rPr>
                <w:b w:val="0"/>
              </w:rPr>
              <w:t>V</w:t>
            </w:r>
            <w:r w:rsidR="001E78DC">
              <w:rPr>
                <w:b w:val="0"/>
              </w:rPr>
              <w:t>ARAM</w:t>
            </w:r>
          </w:p>
          <w:p w:rsidR="0069679B" w:rsidP="0069679B">
            <w:pPr>
              <w:pStyle w:val="naiskr"/>
              <w:spacing w:before="60" w:after="60"/>
              <w:jc w:val="both"/>
              <w:rPr>
                <w:iCs/>
                <w:u w:val="single"/>
              </w:rPr>
            </w:pPr>
            <w:r>
              <w:t>Valsts aģentūra ,,Civilās aviācijas aģentūra”</w:t>
            </w:r>
          </w:p>
          <w:p w:rsidR="00111E52" w:rsidRPr="001E78DC" w:rsidP="004134E1">
            <w:pPr>
              <w:pStyle w:val="naisnod"/>
              <w:spacing w:before="40" w:after="40"/>
              <w:jc w:val="both"/>
              <w:rPr>
                <w:b w:val="0"/>
              </w:rPr>
            </w:pP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450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jc w:val="left"/>
              <w:rPr>
                <w:rFonts w:ascii="Times New Roman" w:hAnsi="Times New Roman"/>
                <w:lang w:eastAsia="lv-LV"/>
              </w:rPr>
            </w:pPr>
            <w:r w:rsidRPr="00F122F9"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1074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76" w:type="pct"/>
          </w:tcPr>
          <w:p w:rsidR="00C23BC0" w:rsidRPr="001E78DC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E78DC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1E78DC">
              <w:rPr>
                <w:rFonts w:ascii="Times New Roman" w:hAnsi="Times New Roman"/>
                <w:sz w:val="24"/>
                <w:szCs w:val="24"/>
              </w:rPr>
              <w:t xml:space="preserve">projektā iekļautie nosacījumi </w:t>
            </w:r>
            <w:r w:rsidRPr="001E78DC" w:rsidR="00EB071F">
              <w:rPr>
                <w:rFonts w:ascii="Times New Roman" w:hAnsi="Times New Roman"/>
                <w:sz w:val="24"/>
                <w:szCs w:val="24"/>
              </w:rPr>
              <w:t xml:space="preserve">neradīs ietekmi uz pārvaldes funkcijām un </w:t>
            </w:r>
            <w:r w:rsidRPr="001E78DC" w:rsidR="00DB3854">
              <w:rPr>
                <w:rFonts w:ascii="Times New Roman" w:hAnsi="Times New Roman"/>
                <w:sz w:val="24"/>
                <w:szCs w:val="24"/>
              </w:rPr>
              <w:t>neietekmēs institucionālo sistēmu.</w:t>
            </w:r>
          </w:p>
          <w:p w:rsidR="00CB4AAB" w:rsidRPr="001E78DC" w:rsidP="00B63F0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E78DC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1E78DC">
              <w:rPr>
                <w:rFonts w:ascii="Times New Roman" w:hAnsi="Times New Roman"/>
                <w:sz w:val="24"/>
                <w:szCs w:val="24"/>
              </w:rPr>
              <w:t>projektā iekļauto nosacījumu izpildei nav nepieciešams veidot jaunas institūcijas, likvidēt vai reorganizēt esošās institūcijas.</w:t>
            </w:r>
          </w:p>
          <w:p w:rsidR="00C34B19" w:rsidRPr="001E78DC" w:rsidP="006817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E78DC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1E78DC">
              <w:rPr>
                <w:rFonts w:ascii="Times New Roman" w:hAnsi="Times New Roman"/>
                <w:sz w:val="24"/>
                <w:szCs w:val="24"/>
              </w:rPr>
              <w:t xml:space="preserve">projekta izpildē iesaistītās </w:t>
            </w:r>
            <w:r w:rsidRPr="001E78DC" w:rsidR="002C68A0">
              <w:rPr>
                <w:rFonts w:ascii="Times New Roman" w:hAnsi="Times New Roman"/>
                <w:sz w:val="24"/>
                <w:szCs w:val="24"/>
              </w:rPr>
              <w:t xml:space="preserve">institūcijas </w:t>
            </w:r>
            <w:r w:rsidRPr="001E78DC" w:rsidR="006817ED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Pr="001E78DC">
              <w:rPr>
                <w:rFonts w:ascii="Times New Roman" w:hAnsi="Times New Roman"/>
                <w:sz w:val="24"/>
                <w:szCs w:val="24"/>
              </w:rPr>
              <w:t xml:space="preserve">projektā iekļautos pasākumu nodrošinās piešķirto valsts budžeta līdzekļu ietvaros. </w:t>
            </w:r>
          </w:p>
        </w:tc>
      </w:tr>
      <w:tr w:rsidTr="00F122F9">
        <w:tblPrEx>
          <w:tblW w:w="9639" w:type="dxa"/>
          <w:jc w:val="center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trHeight w:val="390"/>
          <w:jc w:val="center"/>
        </w:trPr>
        <w:tc>
          <w:tcPr>
            <w:tcW w:w="250" w:type="pct"/>
          </w:tcPr>
          <w:p w:rsidR="00CB4AAB" w:rsidRPr="00F122F9" w:rsidP="00B63F0E">
            <w:pPr>
              <w:spacing w:before="60" w:after="60"/>
              <w:jc w:val="left"/>
              <w:rPr>
                <w:rFonts w:ascii="Times New Roman" w:hAnsi="Times New Roman"/>
                <w:lang w:eastAsia="lv-LV"/>
              </w:rPr>
            </w:pPr>
            <w:r w:rsidRPr="00F122F9"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1074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76" w:type="pct"/>
          </w:tcPr>
          <w:p w:rsidR="00CB4AAB" w:rsidRPr="00FD3ACA" w:rsidP="00B63F0E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FD3AC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69679B" w:rsidP="00EC321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321F" w:rsidRPr="00EC321F" w:rsidP="00EC321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321F">
        <w:rPr>
          <w:rFonts w:ascii="Times New Roman" w:hAnsi="Times New Roman"/>
          <w:b/>
          <w:sz w:val="24"/>
          <w:szCs w:val="24"/>
        </w:rPr>
        <w:t>Anotācijas III</w:t>
      </w:r>
      <w:r w:rsidR="00111E52">
        <w:rPr>
          <w:rFonts w:ascii="Times New Roman" w:hAnsi="Times New Roman"/>
          <w:b/>
          <w:sz w:val="24"/>
          <w:szCs w:val="24"/>
        </w:rPr>
        <w:t xml:space="preserve"> un</w:t>
      </w:r>
      <w:r w:rsidRPr="00EC321F">
        <w:rPr>
          <w:rFonts w:ascii="Times New Roman" w:hAnsi="Times New Roman"/>
          <w:b/>
          <w:sz w:val="24"/>
          <w:szCs w:val="24"/>
        </w:rPr>
        <w:t xml:space="preserve"> IV sadaļa</w:t>
      </w:r>
      <w:r w:rsidR="0069679B">
        <w:rPr>
          <w:rFonts w:ascii="Times New Roman" w:hAnsi="Times New Roman"/>
          <w:b/>
          <w:sz w:val="24"/>
          <w:szCs w:val="24"/>
        </w:rPr>
        <w:t>, V sadaļas 2. tabula</w:t>
      </w:r>
      <w:r w:rsidRPr="00EC321F">
        <w:rPr>
          <w:rFonts w:ascii="Times New Roman" w:hAnsi="Times New Roman"/>
          <w:b/>
          <w:sz w:val="24"/>
          <w:szCs w:val="24"/>
        </w:rPr>
        <w:t xml:space="preserve"> - Projekts šo jomu neskar.</w:t>
      </w:r>
    </w:p>
    <w:p w:rsidR="004C1C0E" w:rsidP="00E57372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p w:rsidR="004C1C0E" w:rsidRPr="001F16CF" w:rsidP="00E5737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75662" w:rsidP="00FD3ACA">
      <w:pPr>
        <w:spacing w:after="0"/>
        <w:rPr>
          <w:rFonts w:ascii="Times New Roman" w:hAnsi="Times New Roman"/>
          <w:sz w:val="24"/>
          <w:szCs w:val="24"/>
        </w:rPr>
      </w:pPr>
    </w:p>
    <w:p w:rsidR="001E78DC" w:rsidRPr="002B3A6D" w:rsidP="00FD3ACA">
      <w:pPr>
        <w:spacing w:after="0"/>
        <w:rPr>
          <w:rFonts w:ascii="Times New Roman" w:hAnsi="Times New Roman"/>
          <w:sz w:val="24"/>
          <w:szCs w:val="24"/>
        </w:rPr>
      </w:pPr>
      <w:r w:rsidRPr="002B3A6D">
        <w:rPr>
          <w:rFonts w:ascii="Times New Roman" w:hAnsi="Times New Roman"/>
          <w:sz w:val="24"/>
          <w:szCs w:val="24"/>
        </w:rPr>
        <w:t>Vides aizsardzības un reģionālās</w:t>
      </w:r>
    </w:p>
    <w:p w:rsidR="001E78DC" w:rsidRPr="002B3A6D" w:rsidP="00FD3ACA">
      <w:pPr>
        <w:spacing w:after="0"/>
        <w:rPr>
          <w:rFonts w:ascii="Times New Roman" w:hAnsi="Times New Roman"/>
          <w:sz w:val="24"/>
          <w:szCs w:val="24"/>
        </w:rPr>
      </w:pPr>
      <w:r w:rsidRPr="002B3A6D">
        <w:rPr>
          <w:rFonts w:ascii="Times New Roman" w:hAnsi="Times New Roman"/>
          <w:sz w:val="24"/>
          <w:szCs w:val="24"/>
        </w:rPr>
        <w:t>attīstības ministrs</w:t>
      </w:r>
      <w:r w:rsidRPr="002B3A6D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ab/>
        <w:t xml:space="preserve">         K.</w:t>
      </w:r>
      <w:r>
        <w:rPr>
          <w:rFonts w:ascii="Times New Roman" w:hAnsi="Times New Roman"/>
          <w:sz w:val="24"/>
          <w:szCs w:val="24"/>
        </w:rPr>
        <w:t> </w:t>
      </w:r>
      <w:r w:rsidRPr="002B3A6D">
        <w:rPr>
          <w:rFonts w:ascii="Times New Roman" w:hAnsi="Times New Roman"/>
          <w:sz w:val="24"/>
          <w:szCs w:val="24"/>
        </w:rPr>
        <w:t>Gerhards</w:t>
      </w:r>
    </w:p>
    <w:p w:rsidR="001E78DC" w:rsidP="00FD3ACA">
      <w:pPr>
        <w:tabs>
          <w:tab w:val="left" w:pos="5610"/>
        </w:tabs>
        <w:spacing w:after="0"/>
        <w:rPr>
          <w:rFonts w:ascii="Times New Roman" w:hAnsi="Times New Roman"/>
          <w:sz w:val="24"/>
          <w:szCs w:val="24"/>
        </w:rPr>
      </w:pPr>
    </w:p>
    <w:p w:rsidR="00111E52" w:rsidP="00FD3ACA">
      <w:pPr>
        <w:tabs>
          <w:tab w:val="left" w:pos="5610"/>
        </w:tabs>
        <w:spacing w:after="0"/>
        <w:rPr>
          <w:rFonts w:ascii="Times New Roman" w:hAnsi="Times New Roman"/>
          <w:sz w:val="24"/>
          <w:szCs w:val="24"/>
        </w:rPr>
      </w:pPr>
    </w:p>
    <w:p w:rsidR="00111E52" w:rsidRPr="002B3A6D" w:rsidP="00FD3ACA">
      <w:pPr>
        <w:tabs>
          <w:tab w:val="left" w:pos="5610"/>
        </w:tabs>
        <w:spacing w:after="0"/>
        <w:rPr>
          <w:rFonts w:ascii="Times New Roman" w:hAnsi="Times New Roman"/>
          <w:sz w:val="24"/>
          <w:szCs w:val="24"/>
        </w:rPr>
      </w:pPr>
    </w:p>
    <w:p w:rsidR="000079DA" w:rsidRPr="002B3A6D" w:rsidP="000079DA">
      <w:pPr>
        <w:spacing w:after="0"/>
        <w:rPr>
          <w:rFonts w:ascii="Times New Roman" w:hAnsi="Times New Roman"/>
          <w:sz w:val="24"/>
          <w:szCs w:val="24"/>
        </w:rPr>
      </w:pPr>
      <w:r w:rsidRPr="002B3A6D">
        <w:rPr>
          <w:rFonts w:ascii="Times New Roman" w:hAnsi="Times New Roman"/>
          <w:sz w:val="24"/>
          <w:szCs w:val="24"/>
        </w:rPr>
        <w:t>Vides aizsardzības un reģionālās</w:t>
      </w:r>
    </w:p>
    <w:p w:rsidR="001E78DC" w:rsidRPr="002B3A6D" w:rsidP="000079DA">
      <w:pPr>
        <w:tabs>
          <w:tab w:val="left" w:pos="56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B3A6D" w:rsidR="000079DA">
        <w:rPr>
          <w:rFonts w:ascii="Times New Roman" w:hAnsi="Times New Roman"/>
          <w:sz w:val="24"/>
          <w:szCs w:val="24"/>
        </w:rPr>
        <w:t>ttīstības</w:t>
      </w:r>
      <w:r w:rsidR="000079DA">
        <w:rPr>
          <w:rFonts w:ascii="Times New Roman" w:hAnsi="Times New Roman"/>
          <w:sz w:val="24"/>
          <w:szCs w:val="24"/>
        </w:rPr>
        <w:t xml:space="preserve"> ministrijas </w:t>
      </w:r>
      <w:r w:rsidRPr="002B3A6D">
        <w:rPr>
          <w:rFonts w:ascii="Times New Roman" w:hAnsi="Times New Roman"/>
          <w:sz w:val="24"/>
          <w:szCs w:val="24"/>
        </w:rPr>
        <w:t>valsts sekretārs</w:t>
      </w:r>
      <w:r w:rsidR="000079DA">
        <w:rPr>
          <w:rFonts w:ascii="Times New Roman" w:hAnsi="Times New Roman"/>
          <w:sz w:val="24"/>
          <w:szCs w:val="24"/>
        </w:rPr>
        <w:tab/>
      </w:r>
      <w:r w:rsidR="000079DA">
        <w:rPr>
          <w:rFonts w:ascii="Times New Roman" w:hAnsi="Times New Roman"/>
          <w:sz w:val="24"/>
          <w:szCs w:val="24"/>
        </w:rPr>
        <w:tab/>
      </w:r>
      <w:r w:rsidR="000079DA">
        <w:rPr>
          <w:rFonts w:ascii="Times New Roman" w:hAnsi="Times New Roman"/>
          <w:sz w:val="24"/>
          <w:szCs w:val="24"/>
        </w:rPr>
        <w:tab/>
      </w:r>
      <w:r w:rsidR="000079DA">
        <w:rPr>
          <w:rFonts w:ascii="Times New Roman" w:hAnsi="Times New Roman"/>
          <w:sz w:val="24"/>
          <w:szCs w:val="24"/>
        </w:rPr>
        <w:tab/>
      </w:r>
      <w:r w:rsidRPr="002B3A6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 </w:t>
      </w:r>
      <w:r w:rsidRPr="002B3A6D">
        <w:rPr>
          <w:rFonts w:ascii="Times New Roman" w:hAnsi="Times New Roman"/>
          <w:sz w:val="24"/>
          <w:szCs w:val="24"/>
        </w:rPr>
        <w:t>Muciņš</w:t>
      </w:r>
    </w:p>
    <w:p w:rsidR="00111E52" w:rsidP="00590493">
      <w:pPr>
        <w:shd w:val="clear" w:color="auto" w:fill="FFFFFF"/>
        <w:tabs>
          <w:tab w:val="left" w:pos="7230"/>
        </w:tabs>
        <w:spacing w:after="0"/>
        <w:rPr>
          <w:rFonts w:ascii="Times New Roman" w:hAnsi="Times New Roman"/>
          <w:sz w:val="24"/>
          <w:szCs w:val="24"/>
        </w:rPr>
      </w:pPr>
    </w:p>
    <w:p w:rsidR="00111E52" w:rsidP="00590493">
      <w:pPr>
        <w:shd w:val="clear" w:color="auto" w:fill="FFFFFF"/>
        <w:tabs>
          <w:tab w:val="left" w:pos="7230"/>
        </w:tabs>
        <w:spacing w:after="0"/>
        <w:rPr>
          <w:rFonts w:ascii="Times New Roman" w:hAnsi="Times New Roman"/>
          <w:sz w:val="24"/>
          <w:szCs w:val="24"/>
        </w:rPr>
      </w:pPr>
    </w:p>
    <w:p w:rsidR="000079DA" w:rsidP="00C86B40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319DD" w:rsidP="00C319DD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 w:rsidRPr="00C86B40">
        <w:rPr>
          <w:rFonts w:ascii="Times New Roman" w:hAnsi="Times New Roman"/>
          <w:color w:val="000000"/>
          <w:sz w:val="20"/>
          <w:szCs w:val="20"/>
        </w:rPr>
        <w:t>Rūmnieks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6B40">
        <w:rPr>
          <w:rFonts w:ascii="Times New Roman" w:hAnsi="Times New Roman"/>
          <w:color w:val="000000"/>
          <w:sz w:val="20"/>
          <w:szCs w:val="20"/>
        </w:rPr>
        <w:t xml:space="preserve">67026528 </w:t>
      </w:r>
    </w:p>
    <w:p w:rsidR="00C86B40" w:rsidRPr="00C86B40" w:rsidP="00C319DD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</w:rPr>
      </w:pPr>
      <w:r>
        <w:fldChar w:fldCharType="begin"/>
      </w:r>
      <w:r>
        <w:instrText xml:space="preserve"> HYPERLINK "mailto:Fricis.Rumnieks@varam.gov.lv" </w:instrText>
      </w:r>
      <w:r>
        <w:fldChar w:fldCharType="separate"/>
      </w:r>
      <w:r w:rsidRPr="00C86B40" w:rsidR="00C319DD">
        <w:rPr>
          <w:rStyle w:val="Hyperlink"/>
          <w:rFonts w:ascii="Times New Roman" w:hAnsi="Times New Roman"/>
          <w:sz w:val="20"/>
          <w:szCs w:val="20"/>
        </w:rPr>
        <w:t>Fricis.Rumnieks@varam.gov.lv</w:t>
      </w:r>
      <w:r>
        <w:fldChar w:fldCharType="end"/>
      </w:r>
      <w:r w:rsidRPr="00C86B4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66FC" w:rsidRPr="00797A1A" w:rsidP="00C86B40">
      <w:pPr>
        <w:shd w:val="clear" w:color="auto" w:fill="FFFFFF"/>
        <w:spacing w:after="0"/>
        <w:rPr>
          <w:sz w:val="18"/>
          <w:szCs w:val="18"/>
        </w:rPr>
      </w:pPr>
    </w:p>
    <w:sectPr w:rsidSect="008F7F73">
      <w:headerReference w:type="default" r:id="rId5"/>
      <w:footerReference w:type="default" r:id="rId6"/>
      <w:footerReference w:type="firs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EB7" w:rsidRPr="004D7C36" w:rsidP="007607D2">
    <w:pPr>
      <w:spacing w:after="0"/>
      <w:rPr>
        <w:rFonts w:ascii="Times New Roman" w:hAnsi="Times New Roman"/>
        <w:sz w:val="8"/>
        <w:szCs w:val="8"/>
      </w:rPr>
    </w:pPr>
  </w:p>
  <w:p w:rsidR="003A1EB7" w:rsidRPr="007607D2" w:rsidP="007607D2">
    <w:pPr>
      <w:spacing w:after="0"/>
      <w:rPr>
        <w:rFonts w:ascii="Times New Roman" w:hAnsi="Times New Roman"/>
        <w:sz w:val="18"/>
        <w:szCs w:val="18"/>
      </w:rPr>
    </w:pPr>
    <w:r w:rsidRPr="00C319DD">
      <w:rPr>
        <w:rFonts w:ascii="Times New Roman" w:hAnsi="Times New Roman"/>
        <w:sz w:val="18"/>
        <w:szCs w:val="18"/>
      </w:rPr>
      <w:fldChar w:fldCharType="begin"/>
    </w:r>
    <w:r w:rsidRPr="00C319DD">
      <w:rPr>
        <w:rFonts w:ascii="Times New Roman" w:hAnsi="Times New Roman"/>
        <w:sz w:val="18"/>
        <w:szCs w:val="18"/>
      </w:rPr>
      <w:instrText xml:space="preserve"> FILENAME   \* MERGEFORMAT </w:instrText>
    </w:r>
    <w:r w:rsidRPr="00C319DD">
      <w:rPr>
        <w:rFonts w:ascii="Times New Roman" w:hAnsi="Times New Roman"/>
        <w:sz w:val="18"/>
        <w:szCs w:val="18"/>
      </w:rPr>
      <w:fldChar w:fldCharType="separate"/>
    </w:r>
    <w:r w:rsidRPr="00C319DD">
      <w:rPr>
        <w:rFonts w:ascii="Times New Roman" w:hAnsi="Times New Roman"/>
        <w:noProof/>
        <w:sz w:val="18"/>
        <w:szCs w:val="18"/>
      </w:rPr>
      <w:fldChar w:fldCharType="end"/>
    </w:r>
    <w:r w:rsidRPr="00C319DD">
      <w:rPr>
        <w:rFonts w:ascii="Times New Roman" w:hAnsi="Times New Roman"/>
        <w:sz w:val="18"/>
        <w:szCs w:val="18"/>
      </w:rPr>
      <w:t>; Ministru kabineta</w:t>
    </w:r>
    <w:r w:rsidRPr="007607D2">
      <w:rPr>
        <w:rFonts w:ascii="Times New Roman" w:hAnsi="Times New Roman"/>
        <w:sz w:val="18"/>
        <w:szCs w:val="18"/>
      </w:rPr>
      <w:t xml:space="preserve"> noteikumu projekta „Grozījumi Ministru kabineta 2013.</w:t>
    </w:r>
    <w:r>
      <w:rPr>
        <w:rFonts w:ascii="Times New Roman" w:hAnsi="Times New Roman"/>
        <w:sz w:val="18"/>
        <w:szCs w:val="18"/>
      </w:rPr>
      <w:t> </w:t>
    </w:r>
    <w:r w:rsidRPr="007607D2">
      <w:rPr>
        <w:rFonts w:ascii="Times New Roman" w:hAnsi="Times New Roman"/>
        <w:sz w:val="18"/>
        <w:szCs w:val="18"/>
      </w:rPr>
      <w:t>gada 9.</w:t>
    </w:r>
    <w:r>
      <w:rPr>
        <w:rFonts w:ascii="Times New Roman" w:hAnsi="Times New Roman"/>
        <w:sz w:val="18"/>
        <w:szCs w:val="18"/>
      </w:rPr>
      <w:t> </w:t>
    </w:r>
    <w:r w:rsidRPr="007607D2">
      <w:rPr>
        <w:rFonts w:ascii="Times New Roman" w:hAnsi="Times New Roman"/>
        <w:sz w:val="18"/>
        <w:szCs w:val="18"/>
      </w:rPr>
      <w:t>jūlija noteikumos Nr.</w:t>
    </w:r>
    <w:r>
      <w:rPr>
        <w:rFonts w:ascii="Times New Roman" w:hAnsi="Times New Roman"/>
        <w:sz w:val="18"/>
        <w:szCs w:val="18"/>
      </w:rPr>
      <w:t> </w:t>
    </w:r>
    <w:r w:rsidRPr="007607D2">
      <w:rPr>
        <w:rFonts w:ascii="Times New Roman" w:hAnsi="Times New Roman"/>
        <w:sz w:val="18"/>
        <w:szCs w:val="18"/>
      </w:rPr>
      <w:t>366 „Noteikumi par aviācijas darbību dalību Eiropas Savienības emisijas kvotu tirdzniecības sistēmā””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EB7" w:rsidRPr="004D7C36" w:rsidP="004D7C36">
    <w:pPr>
      <w:spacing w:after="0"/>
      <w:rPr>
        <w:rFonts w:ascii="Times New Roman" w:hAnsi="Times New Roman"/>
        <w:sz w:val="8"/>
        <w:szCs w:val="8"/>
      </w:rPr>
    </w:pPr>
  </w:p>
  <w:p w:rsidR="003A1EB7" w:rsidRPr="007607D2" w:rsidP="004D7C36">
    <w:pPr>
      <w:spacing w:after="0"/>
      <w:rPr>
        <w:rFonts w:ascii="Times New Roman" w:hAnsi="Times New Roman"/>
        <w:sz w:val="18"/>
        <w:szCs w:val="18"/>
      </w:rPr>
    </w:pPr>
    <w:r w:rsidRPr="00C319DD">
      <w:rPr>
        <w:rFonts w:ascii="Times New Roman" w:hAnsi="Times New Roman"/>
        <w:sz w:val="18"/>
        <w:szCs w:val="18"/>
      </w:rPr>
      <w:fldChar w:fldCharType="begin"/>
    </w:r>
    <w:r w:rsidRPr="00C319DD">
      <w:rPr>
        <w:rFonts w:ascii="Times New Roman" w:hAnsi="Times New Roman"/>
        <w:sz w:val="18"/>
        <w:szCs w:val="18"/>
      </w:rPr>
      <w:instrText xml:space="preserve"> FILENAME   \* MERGEFORMAT </w:instrText>
    </w:r>
    <w:r w:rsidRPr="00C319DD">
      <w:rPr>
        <w:rFonts w:ascii="Times New Roman" w:hAnsi="Times New Roman"/>
        <w:sz w:val="18"/>
        <w:szCs w:val="18"/>
      </w:rPr>
      <w:fldChar w:fldCharType="separate"/>
    </w:r>
    <w:r w:rsidRPr="00C319DD">
      <w:rPr>
        <w:rFonts w:ascii="Times New Roman" w:hAnsi="Times New Roman"/>
        <w:noProof/>
        <w:sz w:val="18"/>
        <w:szCs w:val="18"/>
      </w:rPr>
      <w:fldChar w:fldCharType="end"/>
    </w:r>
    <w:r w:rsidRPr="00C319DD">
      <w:rPr>
        <w:rFonts w:ascii="Times New Roman" w:hAnsi="Times New Roman"/>
        <w:sz w:val="18"/>
        <w:szCs w:val="18"/>
      </w:rPr>
      <w:t>; Ministru</w:t>
    </w:r>
    <w:r w:rsidRPr="007607D2">
      <w:rPr>
        <w:rFonts w:ascii="Times New Roman" w:hAnsi="Times New Roman"/>
        <w:sz w:val="18"/>
        <w:szCs w:val="18"/>
      </w:rPr>
      <w:t xml:space="preserve"> kabineta noteikumu projekta „Grozījumi Ministru kabineta 2013.</w:t>
    </w:r>
    <w:r>
      <w:rPr>
        <w:rFonts w:ascii="Times New Roman" w:hAnsi="Times New Roman"/>
        <w:sz w:val="18"/>
        <w:szCs w:val="18"/>
      </w:rPr>
      <w:t> </w:t>
    </w:r>
    <w:r w:rsidRPr="007607D2">
      <w:rPr>
        <w:rFonts w:ascii="Times New Roman" w:hAnsi="Times New Roman"/>
        <w:sz w:val="18"/>
        <w:szCs w:val="18"/>
      </w:rPr>
      <w:t>gada 9.</w:t>
    </w:r>
    <w:r>
      <w:rPr>
        <w:rFonts w:ascii="Times New Roman" w:hAnsi="Times New Roman"/>
        <w:sz w:val="18"/>
        <w:szCs w:val="18"/>
      </w:rPr>
      <w:t> </w:t>
    </w:r>
    <w:r w:rsidRPr="007607D2">
      <w:rPr>
        <w:rFonts w:ascii="Times New Roman" w:hAnsi="Times New Roman"/>
        <w:sz w:val="18"/>
        <w:szCs w:val="18"/>
      </w:rPr>
      <w:t>jūlija noteikumos Nr.</w:t>
    </w:r>
    <w:r>
      <w:rPr>
        <w:rFonts w:ascii="Times New Roman" w:hAnsi="Times New Roman"/>
        <w:sz w:val="18"/>
        <w:szCs w:val="18"/>
      </w:rPr>
      <w:t> </w:t>
    </w:r>
    <w:r w:rsidRPr="007607D2">
      <w:rPr>
        <w:rFonts w:ascii="Times New Roman" w:hAnsi="Times New Roman"/>
        <w:sz w:val="18"/>
        <w:szCs w:val="18"/>
      </w:rPr>
      <w:t>366 „Noteikumi par aviācijas darbību dalību Eiropas Savienības emisijas kvotu tirdzniecības sistēmā”” sākotnējās ietekmes novērtējuma ziņojums (anotācija)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1E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256">
      <w:rPr>
        <w:noProof/>
      </w:rPr>
      <w:t>5</w:t>
    </w:r>
    <w:r>
      <w:rPr>
        <w:noProof/>
      </w:rPr>
      <w:fldChar w:fldCharType="end"/>
    </w:r>
  </w:p>
  <w:p w:rsidR="003A1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F59F2"/>
    <w:multiLevelType w:val="hybridMultilevel"/>
    <w:tmpl w:val="E8280A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C6C"/>
    <w:multiLevelType w:val="hybridMultilevel"/>
    <w:tmpl w:val="9B301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7EA9"/>
    <w:multiLevelType w:val="hybridMultilevel"/>
    <w:tmpl w:val="F2508D6E"/>
    <w:lvl w:ilvl="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CB74205"/>
    <w:multiLevelType w:val="hybridMultilevel"/>
    <w:tmpl w:val="165413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8645E"/>
    <w:multiLevelType w:val="hybridMultilevel"/>
    <w:tmpl w:val="6FF6BF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E6AA0"/>
    <w:multiLevelType w:val="hybridMultilevel"/>
    <w:tmpl w:val="9FBA3C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E0813"/>
    <w:multiLevelType w:val="hybridMultilevel"/>
    <w:tmpl w:val="F574F362"/>
    <w:lvl w:ilvl="0">
      <w:start w:val="1"/>
      <w:numFmt w:val="decimal"/>
      <w:lvlText w:val="%1)"/>
      <w:lvlJc w:val="left"/>
      <w:pPr>
        <w:ind w:left="5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07" w:hanging="360"/>
      </w:pPr>
    </w:lvl>
    <w:lvl w:ilvl="2" w:tentative="1">
      <w:start w:val="1"/>
      <w:numFmt w:val="lowerRoman"/>
      <w:lvlText w:val="%3."/>
      <w:lvlJc w:val="right"/>
      <w:pPr>
        <w:ind w:left="2027" w:hanging="180"/>
      </w:pPr>
    </w:lvl>
    <w:lvl w:ilvl="3" w:tentative="1">
      <w:start w:val="1"/>
      <w:numFmt w:val="decimal"/>
      <w:lvlText w:val="%4."/>
      <w:lvlJc w:val="left"/>
      <w:pPr>
        <w:ind w:left="2747" w:hanging="360"/>
      </w:pPr>
    </w:lvl>
    <w:lvl w:ilvl="4" w:tentative="1">
      <w:start w:val="1"/>
      <w:numFmt w:val="lowerLetter"/>
      <w:lvlText w:val="%5."/>
      <w:lvlJc w:val="left"/>
      <w:pPr>
        <w:ind w:left="3467" w:hanging="360"/>
      </w:pPr>
    </w:lvl>
    <w:lvl w:ilvl="5" w:tentative="1">
      <w:start w:val="1"/>
      <w:numFmt w:val="lowerRoman"/>
      <w:lvlText w:val="%6."/>
      <w:lvlJc w:val="right"/>
      <w:pPr>
        <w:ind w:left="4187" w:hanging="180"/>
      </w:pPr>
    </w:lvl>
    <w:lvl w:ilvl="6" w:tentative="1">
      <w:start w:val="1"/>
      <w:numFmt w:val="decimal"/>
      <w:lvlText w:val="%7."/>
      <w:lvlJc w:val="left"/>
      <w:pPr>
        <w:ind w:left="4907" w:hanging="360"/>
      </w:pPr>
    </w:lvl>
    <w:lvl w:ilvl="7" w:tentative="1">
      <w:start w:val="1"/>
      <w:numFmt w:val="lowerLetter"/>
      <w:lvlText w:val="%8."/>
      <w:lvlJc w:val="left"/>
      <w:pPr>
        <w:ind w:left="5627" w:hanging="360"/>
      </w:pPr>
    </w:lvl>
    <w:lvl w:ilvl="8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D620BF9"/>
    <w:multiLevelType w:val="hybridMultilevel"/>
    <w:tmpl w:val="C4C435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44BE"/>
    <w:multiLevelType w:val="hybridMultilevel"/>
    <w:tmpl w:val="9B9AFDE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79C"/>
    <w:multiLevelType w:val="hybridMultilevel"/>
    <w:tmpl w:val="1CCE603A"/>
    <w:lvl w:ilvl="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51FB6389"/>
    <w:multiLevelType w:val="hybridMultilevel"/>
    <w:tmpl w:val="FBFEEC76"/>
    <w:lvl w:ilvl="0">
      <w:start w:val="5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>
    <w:nsid w:val="56165214"/>
    <w:multiLevelType w:val="hybridMultilevel"/>
    <w:tmpl w:val="302EDA1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376E05"/>
    <w:multiLevelType w:val="hybridMultilevel"/>
    <w:tmpl w:val="1DACBB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F119A"/>
    <w:multiLevelType w:val="hybridMultilevel"/>
    <w:tmpl w:val="9F925556"/>
    <w:lvl w:ilvl="0">
      <w:start w:val="1"/>
      <w:numFmt w:val="decimal"/>
      <w:lvlText w:val="%1)"/>
      <w:lvlJc w:val="left"/>
      <w:pPr>
        <w:ind w:left="616" w:hanging="360"/>
      </w:pPr>
      <w:rPr>
        <w:rFonts w:eastAsia="Times New Roman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4">
    <w:nsid w:val="5ED32202"/>
    <w:multiLevelType w:val="hybridMultilevel"/>
    <w:tmpl w:val="B8E48524"/>
    <w:lvl w:ilvl="0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60142C52"/>
    <w:multiLevelType w:val="hybridMultilevel"/>
    <w:tmpl w:val="09BCB2F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3268"/>
    <w:multiLevelType w:val="hybridMultilevel"/>
    <w:tmpl w:val="1DBAB9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9376C"/>
    <w:multiLevelType w:val="hybridMultilevel"/>
    <w:tmpl w:val="BAA4D0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452AD"/>
    <w:multiLevelType w:val="hybridMultilevel"/>
    <w:tmpl w:val="04D4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0"/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95711"/>
    <w:multiLevelType w:val="hybridMultilevel"/>
    <w:tmpl w:val="F268136C"/>
    <w:lvl w:ilvl="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7AFF5FA8"/>
    <w:multiLevelType w:val="hybridMultilevel"/>
    <w:tmpl w:val="5678912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43D62"/>
    <w:multiLevelType w:val="hybridMultilevel"/>
    <w:tmpl w:val="18CCAF70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15"/>
  </w:num>
  <w:num w:numId="10">
    <w:abstractNumId w:val="21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17"/>
  </w:num>
  <w:num w:numId="16">
    <w:abstractNumId w:val="20"/>
  </w:num>
  <w:num w:numId="17">
    <w:abstractNumId w:val="18"/>
  </w:num>
  <w:num w:numId="18">
    <w:abstractNumId w:val="5"/>
  </w:num>
  <w:num w:numId="19">
    <w:abstractNumId w:val="11"/>
  </w:num>
  <w:num w:numId="20">
    <w:abstractNumId w:val="0"/>
  </w:num>
  <w:num w:numId="21">
    <w:abstractNumId w:val="16"/>
  </w:num>
  <w:num w:numId="2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1ADC03C-38FD-461F-A364-FCE47297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6A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A32CD"/>
    <w:rPr>
      <w:rFonts w:cs="Times New Roman"/>
    </w:rPr>
  </w:style>
  <w:style w:type="paragraph" w:customStyle="1" w:styleId="labojumupamats">
    <w:name w:val="labojumu_pamats"/>
    <w:basedOn w:val="Normal"/>
    <w:uiPriority w:val="99"/>
    <w:rsid w:val="006A32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6A32CD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uiPriority w:val="99"/>
    <w:rsid w:val="006A32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E57372"/>
    <w:pPr>
      <w:spacing w:before="75" w:after="75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style-span">
    <w:name w:val="apple-style-span"/>
    <w:uiPriority w:val="99"/>
    <w:rsid w:val="00E57372"/>
  </w:style>
  <w:style w:type="paragraph" w:styleId="BodyTextIndent2">
    <w:name w:val="Body Text Indent 2"/>
    <w:basedOn w:val="Normal"/>
    <w:link w:val="BodyTextIndent2Char"/>
    <w:uiPriority w:val="99"/>
    <w:rsid w:val="00E57372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7372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E5737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E57372"/>
    <w:pPr>
      <w:tabs>
        <w:tab w:val="center" w:pos="4153"/>
        <w:tab w:val="right" w:pos="8306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7372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E57372"/>
    <w:rPr>
      <w:rFonts w:cs="Times New Roman"/>
    </w:rPr>
  </w:style>
  <w:style w:type="paragraph" w:customStyle="1" w:styleId="naisnod">
    <w:name w:val="naisnod"/>
    <w:basedOn w:val="Normal"/>
    <w:uiPriority w:val="99"/>
    <w:rsid w:val="00E57372"/>
    <w:pPr>
      <w:spacing w:before="150" w:after="150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E57372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E57372"/>
    <w:pPr>
      <w:spacing w:before="75" w:after="75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h1">
    <w:name w:val="th1"/>
    <w:basedOn w:val="DefaultParagraphFont"/>
    <w:uiPriority w:val="99"/>
    <w:rsid w:val="00E57372"/>
    <w:rPr>
      <w:rFonts w:cs="Times New Roman"/>
      <w:b/>
      <w:bCs/>
      <w:color w:val="333333"/>
    </w:rPr>
  </w:style>
  <w:style w:type="character" w:styleId="CommentReference">
    <w:name w:val="annotation reference"/>
    <w:basedOn w:val="DefaultParagraphFont"/>
    <w:uiPriority w:val="99"/>
    <w:semiHidden/>
    <w:rsid w:val="00E573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7372"/>
    <w:pPr>
      <w:spacing w:after="0"/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7372"/>
    <w:rPr>
      <w:rFonts w:ascii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57372"/>
    <w:pPr>
      <w:spacing w:after="0"/>
      <w:jc w:val="left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372"/>
    <w:rPr>
      <w:rFonts w:ascii="Tahoma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99"/>
    <w:rsid w:val="00E5737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qFormat/>
    <w:rsid w:val="00E57372"/>
    <w:pPr>
      <w:spacing w:after="0"/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57372"/>
    <w:rPr>
      <w:rFonts w:ascii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link w:val="FootnoteRefernece"/>
    <w:uiPriority w:val="99"/>
    <w:qFormat/>
    <w:rsid w:val="00E5737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7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737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E57372"/>
    <w:pPr>
      <w:tabs>
        <w:tab w:val="center" w:pos="4153"/>
        <w:tab w:val="right" w:pos="8306"/>
      </w:tabs>
      <w:spacing w:after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7372"/>
    <w:rPr>
      <w:rFonts w:ascii="Times New Roman" w:hAnsi="Times New Roman" w:cs="Times New Roman"/>
      <w:sz w:val="24"/>
      <w:szCs w:val="24"/>
      <w:lang w:eastAsia="lv-LV"/>
    </w:rPr>
  </w:style>
  <w:style w:type="paragraph" w:styleId="DocumentMap">
    <w:name w:val="Document Map"/>
    <w:basedOn w:val="Normal"/>
    <w:link w:val="DocumentMapChar"/>
    <w:uiPriority w:val="99"/>
    <w:semiHidden/>
    <w:rsid w:val="00E57372"/>
    <w:pPr>
      <w:shd w:val="clear" w:color="auto" w:fill="000080"/>
      <w:spacing w:after="0"/>
      <w:jc w:val="left"/>
    </w:pPr>
    <w:rPr>
      <w:rFonts w:ascii="Tahoma" w:eastAsia="Times New Roman" w:hAnsi="Tahoma" w:cs="Tahoma"/>
      <w:sz w:val="20"/>
      <w:szCs w:val="20"/>
      <w:lang w:eastAsia="lv-LV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7372"/>
    <w:rPr>
      <w:rFonts w:ascii="Tahoma" w:hAnsi="Tahoma" w:cs="Tahoma"/>
      <w:sz w:val="20"/>
      <w:szCs w:val="20"/>
      <w:shd w:val="clear" w:color="auto" w:fill="00008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57372"/>
    <w:pPr>
      <w:ind w:left="720" w:firstLine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E57372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7372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E573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7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57372"/>
    <w:rPr>
      <w:rFonts w:ascii="Courier New" w:hAnsi="Courier New" w:cs="Courier New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E57372"/>
    <w:pPr>
      <w:ind w:left="283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7372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htmlmktable">
    <w:name w:val="tv_html mk_table"/>
    <w:basedOn w:val="Normal"/>
    <w:uiPriority w:val="99"/>
    <w:rsid w:val="00E57372"/>
    <w:pPr>
      <w:spacing w:before="100" w:beforeAutospacing="1" w:after="100" w:afterAutospacing="1"/>
      <w:jc w:val="left"/>
    </w:pPr>
    <w:rPr>
      <w:rFonts w:ascii="Verdana" w:eastAsia="Times New Roman" w:hAnsi="Verdana"/>
      <w:sz w:val="12"/>
      <w:szCs w:val="12"/>
      <w:lang w:eastAsia="lv-LV"/>
    </w:rPr>
  </w:style>
  <w:style w:type="paragraph" w:styleId="Revision">
    <w:name w:val="Revision"/>
    <w:hidden/>
    <w:uiPriority w:val="99"/>
    <w:semiHidden/>
    <w:rsid w:val="00E57372"/>
    <w:rPr>
      <w:rFonts w:ascii="Times New Roman" w:eastAsia="Times New Roman" w:hAnsi="Times New Roman"/>
      <w:sz w:val="24"/>
      <w:szCs w:val="24"/>
    </w:rPr>
  </w:style>
  <w:style w:type="paragraph" w:customStyle="1" w:styleId="b">
    <w:name w:val="b"/>
    <w:basedOn w:val="Normal"/>
    <w:uiPriority w:val="99"/>
    <w:rsid w:val="00E57372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306060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DB68EA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306060"/>
      <w:sz w:val="24"/>
      <w:szCs w:val="24"/>
      <w:lang w:eastAsia="lv-LV"/>
    </w:rPr>
  </w:style>
  <w:style w:type="paragraph" w:customStyle="1" w:styleId="bdc">
    <w:name w:val="bdc"/>
    <w:basedOn w:val="Normal"/>
    <w:uiPriority w:val="99"/>
    <w:rsid w:val="00912060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styleId="Strong">
    <w:name w:val="Strong"/>
    <w:uiPriority w:val="22"/>
    <w:qFormat/>
    <w:locked/>
    <w:rsid w:val="00AA78F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67E1C"/>
    <w:rPr>
      <w:color w:val="808080"/>
    </w:rPr>
  </w:style>
  <w:style w:type="paragraph" w:customStyle="1" w:styleId="FootnoteRefernece">
    <w:name w:val="Footnote Refernece"/>
    <w:aliases w:val="-E Fußnotenzeichen,E,E FNZ,Footnotes refss,Odwołanie przypisu,Ref,de nota al pie,ftref"/>
    <w:basedOn w:val="Normal"/>
    <w:next w:val="Normal"/>
    <w:link w:val="FootnoteReference"/>
    <w:uiPriority w:val="99"/>
    <w:rsid w:val="00C16C56"/>
    <w:pPr>
      <w:spacing w:after="160" w:line="240" w:lineRule="exact"/>
      <w:textAlignment w:val="baseline"/>
    </w:pPr>
    <w:rPr>
      <w:vertAlign w:val="superscript"/>
      <w:lang w:eastAsia="lv-LV"/>
    </w:rPr>
  </w:style>
  <w:style w:type="character" w:customStyle="1" w:styleId="NormalIPChar">
    <w:name w:val="Normal _IP Char"/>
    <w:basedOn w:val="DefaultParagraphFont"/>
    <w:link w:val="NormalIP"/>
    <w:uiPriority w:val="99"/>
    <w:locked/>
    <w:rsid w:val="004B2CB9"/>
  </w:style>
  <w:style w:type="paragraph" w:customStyle="1" w:styleId="NormalIP">
    <w:name w:val="Normal _IP"/>
    <w:basedOn w:val="Normal"/>
    <w:link w:val="NormalIPChar"/>
    <w:uiPriority w:val="99"/>
    <w:rsid w:val="004B2CB9"/>
    <w:pPr>
      <w:spacing w:before="80" w:after="80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2446F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8AD7-046B-46CE-BACD-1D7BC788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likumprojektam "Grozījumi likumā "Par piesārņojumu""</vt:lpstr>
    </vt:vector>
  </TitlesOfParts>
  <Manager>Helena.Rimsa@varam.gov.lv</Manager>
  <Company>Vides aizsardzības un reģionālās attīstības ministrija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likumprojektam "Grozījumi likumā "Par piesārņojumu""</dc:title>
  <dc:subject>anotācija likumprojektam</dc:subject>
  <dc:creator>Helena Rimsa</dc:creator>
  <cp:lastModifiedBy>Marta Ošleja</cp:lastModifiedBy>
  <cp:revision>6</cp:revision>
  <cp:lastPrinted>2016-10-17T11:36:00Z</cp:lastPrinted>
  <dcterms:created xsi:type="dcterms:W3CDTF">2017-02-23T09:07:00Z</dcterms:created>
  <dcterms:modified xsi:type="dcterms:W3CDTF">2017-02-24T09:16:00Z</dcterms:modified>
  <cp:category>Vides politika</cp:category>
</cp:coreProperties>
</file>